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Creoles    </w:t>
      </w:r>
      <w:r>
        <w:t xml:space="preserve">   Encomienda    </w:t>
      </w:r>
      <w:r>
        <w:t xml:space="preserve">   Haciedas    </w:t>
      </w:r>
      <w:r>
        <w:t xml:space="preserve">   Hidalgo    </w:t>
      </w:r>
      <w:r>
        <w:t xml:space="preserve">   L'ouverture    </w:t>
      </w:r>
      <w:r>
        <w:t xml:space="preserve">   Latin America    </w:t>
      </w:r>
      <w:r>
        <w:t xml:space="preserve">   Martin    </w:t>
      </w:r>
      <w:r>
        <w:t xml:space="preserve">   Mestizos    </w:t>
      </w:r>
      <w:r>
        <w:t xml:space="preserve">   Monroe doctrine    </w:t>
      </w:r>
      <w:r>
        <w:t xml:space="preserve">   Peninsulars    </w:t>
      </w:r>
      <w:r>
        <w:t xml:space="preserve">   Saint domingo    </w:t>
      </w:r>
      <w:r>
        <w:t xml:space="preserve">   Vicerol    </w:t>
      </w:r>
      <w:r>
        <w:t xml:space="preserve">   Viceroyalty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2021-10-11T10:48:35Z</dcterms:created>
  <dcterms:modified xsi:type="dcterms:W3CDTF">2021-10-11T10:48:35Z</dcterms:modified>
</cp:coreProperties>
</file>