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Lección 4: la salud y el bienestar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Falta total del sentido de la vista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Barra delgada y puntuda utilizando para coser o tejer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Pelea o combate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golpe de suerte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Poner solución o componer algo; ajustar o arreglar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 manera inmediata, ahora mismo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Ganar peso; ponerse gordo/a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Exceso de gordura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Cita con un profesional, especialmente de la salud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Progreso o mejoría; avance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la actividad y reposar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Valoración que se tiene de si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Medicamento que quita el dolor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Falta de sentido o de razón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Adquirir una enfermedad contagiosa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Ciclo natural de la vida y la muerte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Descubrimiento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pueblo pequeño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Recobrar la salud, mejorar un herida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Adquirir una enfermedad </w:t>
            </w:r>
          </w:p>
        </w:tc>
      </w:tr>
    </w:tbl>
    <w:p>
      <w:pPr>
        <w:pStyle w:val="WordBankLarge"/>
      </w:pPr>
      <w:r>
        <w:t xml:space="preserve">   La aldea     </w:t>
      </w:r>
      <w:r>
        <w:t xml:space="preserve">   Apañar     </w:t>
      </w:r>
      <w:r>
        <w:t xml:space="preserve">   La batalla     </w:t>
      </w:r>
      <w:r>
        <w:t xml:space="preserve">   La ceguera     </w:t>
      </w:r>
      <w:r>
        <w:t xml:space="preserve">    La autoestima     </w:t>
      </w:r>
      <w:r>
        <w:t xml:space="preserve">   El chiripazo     </w:t>
      </w:r>
      <w:r>
        <w:t xml:space="preserve">   El ciclo vital     </w:t>
      </w:r>
      <w:r>
        <w:t xml:space="preserve">   El analgésico     </w:t>
      </w:r>
      <w:r>
        <w:t xml:space="preserve">   La aguja     </w:t>
      </w:r>
      <w:r>
        <w:t xml:space="preserve">   El adelanto     </w:t>
      </w:r>
      <w:r>
        <w:t xml:space="preserve">   Contagiarse     </w:t>
      </w:r>
      <w:r>
        <w:t xml:space="preserve">   La consulta     </w:t>
      </w:r>
      <w:r>
        <w:t xml:space="preserve">   Descansar     </w:t>
      </w:r>
      <w:r>
        <w:t xml:space="preserve">   Enfermarse     </w:t>
      </w:r>
      <w:r>
        <w:t xml:space="preserve">   Engordar     </w:t>
      </w:r>
      <w:r>
        <w:t xml:space="preserve">   Enseguida     </w:t>
      </w:r>
      <w:r>
        <w:t xml:space="preserve">   La insensatez     </w:t>
      </w:r>
      <w:r>
        <w:t xml:space="preserve">   El hallazgo     </w:t>
      </w:r>
      <w:r>
        <w:t xml:space="preserve">   La obesidad     </w:t>
      </w:r>
      <w:r>
        <w:t xml:space="preserve">   Sanar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4: la salud y el bienestar </dc:title>
  <dcterms:created xsi:type="dcterms:W3CDTF">2021-10-11T10:55:04Z</dcterms:created>
  <dcterms:modified xsi:type="dcterms:W3CDTF">2021-10-11T10:55:04Z</dcterms:modified>
</cp:coreProperties>
</file>