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of English law which says that a person should take reasonable care to avoid acts or omissions that she/he can reasonably foresee as likely to cause injury to the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defending or denying; the party against whom relief or recovery is sought in an action or suit. Referred to in common law jurisdictions as the “Defendant”.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standard of proof in civil cases, demanding that the case that is the more probable should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wrongful act or an infringement of a right (other than under contract) leading to civil legal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legal liability a manufacturer or trader incurs for producing or selling a faulty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experienced in the imagination through the feelings or actions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request to the judge (or judges) to make a decision about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follows, prosecutes, or enforces a matter judicially, as a complaining party. Referred to in common law jurisdictions as the “Plaintiff”.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legal obligation which is imposed on an individual requiring adherence to a standard of reasonable care while performing any acts that could foreseeably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(of a decree or judgment) given provisionally during the course of a legal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Latin legal term meaning "in the character or manner of a pauper". It refers to the ability of an indigent person to proceed in court without payment of the usual fees associated with a lawsuit or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 of English law that is derived from custom and judicial precedent rather than statutes. Often contrasted with statutory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expenses, especially those allowed in favor of the winning party or against the losing party in a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law concerned with private relations between members of a community rather than criminal, military, or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take proper care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 of law on which a judicial decision is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liability that does not depend on actual negligence or intent to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or spoken agreement, especially one concerning employment, sales, or tenancy, that is intended to be enforceable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level at which the average, prudent provider in a given community would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practitioner who traditionally deals with most of the legal matters in some jurisdictions.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law passed by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applies to a higher court for a reversal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judge's incidental expression of opinion, not essential to the decision and not establishing precedent.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lawyer entitled to practice as an advocate, particularly in the higher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defendant in a lawsuit, especially one in an appeals or divorce case.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Common Law    </w:t>
      </w:r>
      <w:r>
        <w:t xml:space="preserve">   Civil Law    </w:t>
      </w:r>
      <w:r>
        <w:t xml:space="preserve">   In Forma Pauperis    </w:t>
      </w:r>
      <w:r>
        <w:t xml:space="preserve">   Apellant    </w:t>
      </w:r>
      <w:r>
        <w:t xml:space="preserve">   Vicarious Liability    </w:t>
      </w:r>
      <w:r>
        <w:t xml:space="preserve">   Neighbour Principle    </w:t>
      </w:r>
      <w:r>
        <w:t xml:space="preserve">   Court Costs    </w:t>
      </w:r>
      <w:r>
        <w:t xml:space="preserve">   Tort    </w:t>
      </w:r>
      <w:r>
        <w:t xml:space="preserve">   Statute    </w:t>
      </w:r>
      <w:r>
        <w:t xml:space="preserve">   Balance of Probabilities    </w:t>
      </w:r>
      <w:r>
        <w:t xml:space="preserve">   Duty of Care    </w:t>
      </w:r>
      <w:r>
        <w:t xml:space="preserve">   Purser    </w:t>
      </w:r>
      <w:r>
        <w:t xml:space="preserve">   Defendant    </w:t>
      </w:r>
      <w:r>
        <w:t xml:space="preserve">   Strict Liability    </w:t>
      </w:r>
      <w:r>
        <w:t xml:space="preserve">   Products Liability    </w:t>
      </w:r>
      <w:r>
        <w:t xml:space="preserve">   Barrister    </w:t>
      </w:r>
      <w:r>
        <w:t xml:space="preserve">   Ratio Decidendi    </w:t>
      </w:r>
      <w:r>
        <w:t xml:space="preserve">   Interlocutory    </w:t>
      </w:r>
      <w:r>
        <w:t xml:space="preserve">   Negligence    </w:t>
      </w:r>
      <w:r>
        <w:t xml:space="preserve">   Standard of Care    </w:t>
      </w:r>
      <w:r>
        <w:t xml:space="preserve">   Respondent    </w:t>
      </w:r>
      <w:r>
        <w:t xml:space="preserve">   Motion    </w:t>
      </w:r>
      <w:r>
        <w:t xml:space="preserve">   Solicitor    </w:t>
      </w:r>
      <w:r>
        <w:t xml:space="preserve">   Obiter Dicta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to Know</dc:title>
  <dcterms:created xsi:type="dcterms:W3CDTF">2021-10-11T10:54:50Z</dcterms:created>
  <dcterms:modified xsi:type="dcterms:W3CDTF">2021-10-11T10:54:50Z</dcterms:modified>
</cp:coreProperties>
</file>