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studies Unit 2 SAC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mitigating factors    </w:t>
      </w:r>
      <w:r>
        <w:t xml:space="preserve">   equality    </w:t>
      </w:r>
      <w:r>
        <w:t xml:space="preserve">   access    </w:t>
      </w:r>
      <w:r>
        <w:t xml:space="preserve">   fairness    </w:t>
      </w:r>
      <w:r>
        <w:t xml:space="preserve">   recidivism    </w:t>
      </w:r>
      <w:r>
        <w:t xml:space="preserve">   specificdeterrence    </w:t>
      </w:r>
      <w:r>
        <w:t xml:space="preserve">   generaldeterrence    </w:t>
      </w:r>
      <w:r>
        <w:t xml:space="preserve">   conviction    </w:t>
      </w:r>
      <w:r>
        <w:t xml:space="preserve">   committalproceeding    </w:t>
      </w:r>
      <w:r>
        <w:t xml:space="preserve">   culpabledriving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studies Unit 2 SAC</dc:title>
  <dcterms:created xsi:type="dcterms:W3CDTF">2021-10-11T10:55:50Z</dcterms:created>
  <dcterms:modified xsi:type="dcterms:W3CDTF">2021-10-11T10:55:50Z</dcterms:modified>
</cp:coreProperties>
</file>