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Legislation: Employment Equity Act and Broad Based Black Economic Empowerment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penalties    </w:t>
      </w:r>
      <w:r>
        <w:t xml:space="preserve">   Compliance    </w:t>
      </w:r>
      <w:r>
        <w:t xml:space="preserve">   employment equity plans    </w:t>
      </w:r>
      <w:r>
        <w:t xml:space="preserve">   Human Resources Policies    </w:t>
      </w:r>
      <w:r>
        <w:t xml:space="preserve">   Code of Good Practice    </w:t>
      </w:r>
      <w:r>
        <w:t xml:space="preserve">   Department of Labour    </w:t>
      </w:r>
      <w:r>
        <w:t xml:space="preserve">   advantages    </w:t>
      </w:r>
      <w:r>
        <w:t xml:space="preserve">   legislation    </w:t>
      </w:r>
      <w:r>
        <w:t xml:space="preserve">   business environment    </w:t>
      </w:r>
      <w:r>
        <w:t xml:space="preserve">   inequalities    </w:t>
      </w:r>
      <w:r>
        <w:t xml:space="preserve">   Employment Equity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Legislation: Employment Equity Act and Broad Based Black Economic Empowerment Act</dc:title>
  <dcterms:created xsi:type="dcterms:W3CDTF">2021-10-11T10:55:35Z</dcterms:created>
  <dcterms:modified xsi:type="dcterms:W3CDTF">2021-10-11T10:55:35Z</dcterms:modified>
</cp:coreProperties>
</file>