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Les Crayons qui trichent: Chapitre 12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avarier    </w:t>
      </w:r>
      <w:r>
        <w:t xml:space="preserve">   deambule    </w:t>
      </w:r>
      <w:r>
        <w:t xml:space="preserve">   anicroche    </w:t>
      </w:r>
      <w:r>
        <w:t xml:space="preserve">   interpelle    </w:t>
      </w:r>
      <w:r>
        <w:t xml:space="preserve">   somnolent    </w:t>
      </w:r>
      <w:r>
        <w:t xml:space="preserve">   larmoyer    </w:t>
      </w:r>
      <w:r>
        <w:t xml:space="preserve">   s'empriffer    </w:t>
      </w:r>
      <w:r>
        <w:t xml:space="preserve">   la paume    </w:t>
      </w:r>
      <w:r>
        <w:t xml:space="preserve">   s'enfarger    </w:t>
      </w:r>
      <w:r>
        <w:t xml:space="preserve">   Harponner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Les Crayons qui trichent: Chapitre 12    </dc:title>
  <dcterms:created xsi:type="dcterms:W3CDTF">2021-10-10T23:44:11Z</dcterms:created>
  <dcterms:modified xsi:type="dcterms:W3CDTF">2021-10-10T23:44:11Z</dcterms:modified>
</cp:coreProperties>
</file>