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Lewensorientering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introvert    </w:t>
      </w:r>
      <w:r>
        <w:t xml:space="preserve">   trauma    </w:t>
      </w:r>
      <w:r>
        <w:t xml:space="preserve">   misbruik    </w:t>
      </w:r>
      <w:r>
        <w:t xml:space="preserve">   aggressief    </w:t>
      </w:r>
      <w:r>
        <w:t xml:space="preserve">   skinder    </w:t>
      </w:r>
      <w:r>
        <w:t xml:space="preserve">   selfbeeld    </w:t>
      </w:r>
      <w:r>
        <w:t xml:space="preserve">   portuurgroep    </w:t>
      </w:r>
      <w:r>
        <w:t xml:space="preserve">   onderwys    </w:t>
      </w:r>
      <w:r>
        <w:t xml:space="preserve">   gelykheid    </w:t>
      </w:r>
      <w:r>
        <w:t xml:space="preserve">   onwettig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Lewensorientering</dc:title>
  <dcterms:created xsi:type="dcterms:W3CDTF">2021-10-11T11:07:27Z</dcterms:created>
  <dcterms:modified xsi:type="dcterms:W3CDTF">2021-10-11T11:07:27Z</dcterms:modified>
</cp:coreProperties>
</file>