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Lexi Litriú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cailín    </w:t>
      </w:r>
      <w:r>
        <w:t xml:space="preserve">   líne    </w:t>
      </w:r>
      <w:r>
        <w:t xml:space="preserve">   gairdín    </w:t>
      </w:r>
      <w:r>
        <w:t xml:space="preserve">   coinín    </w:t>
      </w:r>
      <w:r>
        <w:t xml:space="preserve">   éinín    </w:t>
      </w:r>
      <w:r>
        <w:t xml:space="preserve">   leitís    </w:t>
      </w:r>
      <w:r>
        <w:t xml:space="preserve">   císte    </w:t>
      </w:r>
      <w:r>
        <w:t xml:space="preserve">   bhí    </w:t>
      </w:r>
      <w:r>
        <w:t xml:space="preserve">   bígí    </w:t>
      </w:r>
      <w:r>
        <w:t xml:space="preserve">   bí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Lexi Litriú</dc:title>
  <dcterms:created xsi:type="dcterms:W3CDTF">2021-10-11T11:08:03Z</dcterms:created>
  <dcterms:modified xsi:type="dcterms:W3CDTF">2021-10-11T11:08:03Z</dcterms:modified>
</cp:coreProperties>
</file>