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stages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Menopause    </w:t>
      </w:r>
      <w:r>
        <w:t xml:space="preserve">   Infancy    </w:t>
      </w:r>
      <w:r>
        <w:t xml:space="preserve">   Growth    </w:t>
      </w:r>
      <w:r>
        <w:t xml:space="preserve">   Puberty    </w:t>
      </w:r>
      <w:r>
        <w:t xml:space="preserve">   Childhood    </w:t>
      </w:r>
      <w:r>
        <w:t xml:space="preserve">   Adulthood    </w:t>
      </w:r>
      <w:r>
        <w:t xml:space="preserve">   Adolescence    </w:t>
      </w:r>
      <w:r>
        <w:t xml:space="preserve">   Problem solving    </w:t>
      </w:r>
      <w:r>
        <w:t xml:space="preserve">   Attachment    </w:t>
      </w:r>
      <w:r>
        <w:t xml:space="preserve">   Moral development    </w:t>
      </w:r>
      <w:r>
        <w:t xml:space="preserve">   Old age    </w:t>
      </w:r>
      <w:r>
        <w:t xml:space="preserve">   Piaget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stages </dc:title>
  <dcterms:created xsi:type="dcterms:W3CDTF">2021-10-11T11:10:35Z</dcterms:created>
  <dcterms:modified xsi:type="dcterms:W3CDTF">2021-10-11T11:10:35Z</dcterms:modified>
</cp:coreProperties>
</file>