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of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competitve    </w:t>
      </w:r>
      <w:r>
        <w:t xml:space="preserve">   zero    </w:t>
      </w:r>
      <w:r>
        <w:t xml:space="preserve">   maximum rate    </w:t>
      </w:r>
      <w:r>
        <w:t xml:space="preserve">   minimum rate    </w:t>
      </w:r>
      <w:r>
        <w:t xml:space="preserve">   in branch    </w:t>
      </w:r>
      <w:r>
        <w:t xml:space="preserve">   online banking    </w:t>
      </w:r>
      <w:r>
        <w:t xml:space="preserve">   call twenty four    </w:t>
      </w:r>
      <w:r>
        <w:t xml:space="preserve">   thirty six thousand    </w:t>
      </w:r>
      <w:r>
        <w:t xml:space="preserve">   minimum payment    </w:t>
      </w:r>
      <w:r>
        <w:t xml:space="preserve">   overdraft protection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of Credit</dc:title>
  <dcterms:created xsi:type="dcterms:W3CDTF">2021-10-11T11:14:02Z</dcterms:created>
  <dcterms:modified xsi:type="dcterms:W3CDTF">2021-10-11T11:14:02Z</dcterms:modified>
</cp:coreProperties>
</file>