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Liquidity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stock    </w:t>
      </w:r>
      <w:r>
        <w:t xml:space="preserve">   turnover    </w:t>
      </w:r>
      <w:r>
        <w:t xml:space="preserve">   working capital    </w:t>
      </w:r>
      <w:r>
        <w:t xml:space="preserve">   overdraft    </w:t>
      </w:r>
      <w:r>
        <w:t xml:space="preserve">   creditors    </w:t>
      </w:r>
      <w:r>
        <w:t xml:space="preserve">   debtors    </w:t>
      </w:r>
      <w:r>
        <w:t xml:space="preserve">   cash    </w:t>
      </w:r>
      <w:r>
        <w:t xml:space="preserve">   acid test ratios    </w:t>
      </w:r>
      <w:r>
        <w:t xml:space="preserve">   current liability    </w:t>
      </w:r>
      <w:r>
        <w:t xml:space="preserve">   liquidity    </w:t>
      </w:r>
      <w:r>
        <w:t xml:space="preserve">   liquid ratio    </w:t>
      </w:r>
      <w:r>
        <w:t xml:space="preserve">   current assets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Liquidity</dc:title>
  <dcterms:created xsi:type="dcterms:W3CDTF">2021-10-11T11:13:11Z</dcterms:created>
  <dcterms:modified xsi:type="dcterms:W3CDTF">2021-10-11T11:13:11Z</dcterms:modified>
</cp:coreProperties>
</file>