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Logistics and Supply Chain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Insurance    </w:t>
      </w:r>
      <w:r>
        <w:t xml:space="preserve">   Storage    </w:t>
      </w:r>
      <w:r>
        <w:t xml:space="preserve">   Materials    </w:t>
      </w:r>
      <w:r>
        <w:t xml:space="preserve">   Movement    </w:t>
      </w:r>
      <w:r>
        <w:t xml:space="preserve">   Supplier    </w:t>
      </w:r>
      <w:r>
        <w:t xml:space="preserve">   Consumers    </w:t>
      </w:r>
      <w:r>
        <w:t xml:space="preserve">   Retailers    </w:t>
      </w:r>
      <w:r>
        <w:t xml:space="preserve">   Wholesalers    </w:t>
      </w:r>
      <w:r>
        <w:t xml:space="preserve">   Logistics    </w:t>
      </w:r>
      <w:r>
        <w:t xml:space="preserve">   Supply Chain    </w:t>
      </w:r>
      <w:r>
        <w:t xml:space="preserve">   Stock    </w:t>
      </w:r>
      <w:r>
        <w:t xml:space="preserve">   Transport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Logistics and Supply Chain Management</dc:title>
  <dcterms:created xsi:type="dcterms:W3CDTF">2021-10-11T11:22:59Z</dcterms:created>
  <dcterms:modified xsi:type="dcterms:W3CDTF">2021-10-11T11:22:59Z</dcterms:modified>
</cp:coreProperties>
</file>