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and Short Term Affects of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slurred speech    </w:t>
      </w:r>
      <w:r>
        <w:t xml:space="preserve">   poor reflexes    </w:t>
      </w:r>
      <w:r>
        <w:t xml:space="preserve">   violence    </w:t>
      </w:r>
      <w:r>
        <w:t xml:space="preserve">   vomiting    </w:t>
      </w:r>
      <w:r>
        <w:t xml:space="preserve">   mood swings    </w:t>
      </w:r>
      <w:r>
        <w:t xml:space="preserve">   liver failure    </w:t>
      </w:r>
      <w:r>
        <w:t xml:space="preserve">   heart rate    </w:t>
      </w:r>
      <w:r>
        <w:t xml:space="preserve">   drowsiness    </w:t>
      </w:r>
      <w:r>
        <w:t xml:space="preserve">   depression    </w:t>
      </w:r>
      <w:r>
        <w:t xml:space="preserve">   cancer    </w:t>
      </w:r>
      <w:r>
        <w:t xml:space="preserve">   impaired balance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and Short Term Affects of Alcohol</dc:title>
  <dcterms:created xsi:type="dcterms:W3CDTF">2021-10-11T11:24:02Z</dcterms:created>
  <dcterms:modified xsi:type="dcterms:W3CDTF">2021-10-11T11:24:02Z</dcterms:modified>
</cp:coreProperties>
</file>