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Lowell Mill Girls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working conditions    </w:t>
      </w:r>
      <w:r>
        <w:t xml:space="preserve">   obligations    </w:t>
      </w:r>
      <w:r>
        <w:t xml:space="preserve">   corporate paternalism    </w:t>
      </w:r>
      <w:r>
        <w:t xml:space="preserve">   industrial towns    </w:t>
      </w:r>
      <w:r>
        <w:t xml:space="preserve">   girls    </w:t>
      </w:r>
      <w:r>
        <w:t xml:space="preserve">   factories    </w:t>
      </w:r>
      <w:r>
        <w:t xml:space="preserve">   immigrants    </w:t>
      </w:r>
      <w:r>
        <w:t xml:space="preserve">   protests    </w:t>
      </w:r>
      <w:r>
        <w:t xml:space="preserve">   unions    </w:t>
      </w:r>
      <w:r>
        <w:t xml:space="preserve">   lowell offering    </w:t>
      </w:r>
      <w:r>
        <w:t xml:space="preserve">   industrial    </w:t>
      </w:r>
      <w:r>
        <w:t xml:space="preserve">   francis lowell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Lowell Mill Girls </dc:title>
  <dcterms:created xsi:type="dcterms:W3CDTF">2021-10-11T11:30:06Z</dcterms:created>
  <dcterms:modified xsi:type="dcterms:W3CDTF">2021-10-11T11:30:06Z</dcterms:modified>
</cp:coreProperties>
</file>