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Malignant Hyperthermia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bicarbonate    </w:t>
      </w:r>
      <w:r>
        <w:t xml:space="preserve">   Dantrolene    </w:t>
      </w:r>
      <w:r>
        <w:t xml:space="preserve">   dysrhythmias    </w:t>
      </w:r>
      <w:r>
        <w:t xml:space="preserve">   emergency    </w:t>
      </w:r>
      <w:r>
        <w:t xml:space="preserve">   hotline    </w:t>
      </w:r>
      <w:r>
        <w:t xml:space="preserve">   hyperkalemia    </w:t>
      </w:r>
      <w:r>
        <w:t xml:space="preserve">   ice packs    </w:t>
      </w:r>
      <w:r>
        <w:t xml:space="preserve">   lavage    </w:t>
      </w:r>
      <w:r>
        <w:t xml:space="preserve">   metabolic acidosis    </w:t>
      </w:r>
      <w:r>
        <w:t xml:space="preserve">   ryanodex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Malignant Hyperthermia</dc:title>
  <dcterms:created xsi:type="dcterms:W3CDTF">2021-10-11T11:41:54Z</dcterms:created>
  <dcterms:modified xsi:type="dcterms:W3CDTF">2021-10-11T11:41:54Z</dcterms:modified>
</cp:coreProperties>
</file>