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Med Terminology II Final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26</w:t>
            </w: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condition caused by excessive quantities of thyroid hormones it may be due to over secretion by the thyroid gland</w:t>
            </w:r>
          </w:p>
          <w:p>
            <w:pPr>
              <w:keepLines/>
              <w:pStyle w:val="CluesTiny"/>
            </w:pPr>
            <w:r>
              <w:rPr>
                <w:b w:val="true"/>
                <w:bCs w:val="true"/>
              </w:rPr>
              <w:t xml:space="preserve">2. </w:t>
            </w:r>
            <w:r>
              <w:t xml:space="preserve">Pertaining to the femur</w:t>
            </w:r>
          </w:p>
          <w:p>
            <w:pPr>
              <w:keepLines/>
              <w:pStyle w:val="CluesTiny"/>
            </w:pPr>
            <w:r>
              <w:rPr>
                <w:b w:val="true"/>
                <w:bCs w:val="true"/>
              </w:rPr>
              <w:t xml:space="preserve">5. </w:t>
            </w:r>
            <w:r>
              <w:t xml:space="preserve">relating to the interaction or cooperation of two or more organizations, substances, or other agents to produce a combined effect greater than the sum of their separate effects</w:t>
            </w:r>
          </w:p>
          <w:p>
            <w:pPr>
              <w:keepLines/>
              <w:pStyle w:val="CluesTiny"/>
            </w:pPr>
            <w:r>
              <w:rPr>
                <w:b w:val="true"/>
                <w:bCs w:val="true"/>
              </w:rPr>
              <w:t xml:space="preserve">8. </w:t>
            </w:r>
            <w:r>
              <w:t xml:space="preserve">a diagnostic test that uses ultrasound waves to create an image of the heart muscle</w:t>
            </w:r>
          </w:p>
          <w:p>
            <w:pPr>
              <w:keepLines/>
              <w:pStyle w:val="CluesTiny"/>
            </w:pPr>
            <w:r>
              <w:rPr>
                <w:b w:val="true"/>
                <w:bCs w:val="true"/>
              </w:rPr>
              <w:t xml:space="preserve">11. </w:t>
            </w:r>
            <w:r>
              <w:t xml:space="preserve">abnormal dryness, as of the eye, skin, or mouth</w:t>
            </w:r>
          </w:p>
          <w:p>
            <w:pPr>
              <w:keepLines/>
              <w:pStyle w:val="CluesTiny"/>
            </w:pPr>
            <w:r>
              <w:rPr>
                <w:b w:val="true"/>
                <w:bCs w:val="true"/>
              </w:rPr>
              <w:t xml:space="preserve">16. </w:t>
            </w:r>
            <w:r>
              <w:t xml:space="preserve">sensitivity to light</w:t>
            </w:r>
          </w:p>
          <w:p>
            <w:pPr>
              <w:keepLines/>
              <w:pStyle w:val="CluesTiny"/>
            </w:pPr>
            <w:r>
              <w:rPr>
                <w:b w:val="true"/>
                <w:bCs w:val="true"/>
              </w:rPr>
              <w:t xml:space="preserve">17. </w:t>
            </w:r>
            <w:r>
              <w:t xml:space="preserve">Suppression of the immune response, as by drugs or radiation, in order to prevent the rejection of grafts or transplants or to control autoimmune diseases</w:t>
            </w:r>
          </w:p>
          <w:p>
            <w:pPr>
              <w:keepLines/>
              <w:pStyle w:val="CluesTiny"/>
            </w:pPr>
            <w:r>
              <w:rPr>
                <w:b w:val="true"/>
                <w:bCs w:val="true"/>
              </w:rPr>
              <w:t xml:space="preserve">19. </w:t>
            </w:r>
            <w:r>
              <w:t xml:space="preserve">A gaseous suspension of fine solid or liquid particles</w:t>
            </w:r>
          </w:p>
          <w:p>
            <w:pPr>
              <w:keepLines/>
              <w:pStyle w:val="CluesTiny"/>
            </w:pPr>
            <w:r>
              <w:rPr>
                <w:b w:val="true"/>
                <w:bCs w:val="true"/>
              </w:rPr>
              <w:t xml:space="preserve">22. </w:t>
            </w:r>
            <w:r>
              <w:t xml:space="preserve">Absence of vision in half of the visual field</w:t>
            </w:r>
          </w:p>
          <w:p>
            <w:pPr>
              <w:keepLines/>
              <w:pStyle w:val="CluesTiny"/>
            </w:pPr>
            <w:r>
              <w:rPr>
                <w:b w:val="true"/>
                <w:bCs w:val="true"/>
              </w:rPr>
              <w:t xml:space="preserve">25. </w:t>
            </w:r>
            <w:r>
              <w:t xml:space="preserve">another term for adrenocorticotropic hormone</w:t>
            </w:r>
          </w:p>
          <w:p>
            <w:pPr>
              <w:keepLines/>
              <w:pStyle w:val="CluesTiny"/>
            </w:pPr>
            <w:r>
              <w:rPr>
                <w:b w:val="true"/>
                <w:bCs w:val="true"/>
              </w:rPr>
              <w:t xml:space="preserve">27. </w:t>
            </w:r>
            <w:r>
              <w:t xml:space="preserve">a drug, agent, or nerve that can cause dilatation of the walls of blood vessels</w:t>
            </w:r>
          </w:p>
          <w:p>
            <w:pPr>
              <w:keepLines/>
              <w:pStyle w:val="CluesTiny"/>
            </w:pPr>
            <w:r>
              <w:rPr>
                <w:b w:val="true"/>
                <w:bCs w:val="true"/>
              </w:rPr>
              <w:t xml:space="preserve">29. </w:t>
            </w:r>
            <w:r>
              <w:t xml:space="preserve">an abnormally high level of calcium in the blood, usually more than 10.5 milligrams per deciliter of blood</w:t>
            </w:r>
          </w:p>
          <w:p>
            <w:pPr>
              <w:keepLines/>
              <w:pStyle w:val="CluesTiny"/>
            </w:pPr>
            <w:r>
              <w:rPr>
                <w:b w:val="true"/>
                <w:bCs w:val="true"/>
              </w:rPr>
              <w:t xml:space="preserve">30. </w:t>
            </w:r>
            <w:r>
              <w:t xml:space="preserve">a benign fatty tumor usually composed of mature fat cells</w:t>
            </w:r>
          </w:p>
          <w:p>
            <w:pPr>
              <w:keepLines/>
              <w:pStyle w:val="CluesTiny"/>
            </w:pPr>
            <w:r>
              <w:rPr>
                <w:b w:val="true"/>
                <w:bCs w:val="true"/>
              </w:rPr>
              <w:t xml:space="preserve">31. </w:t>
            </w:r>
            <w:r>
              <w:t xml:space="preserve">each end of a long bone; the area beyond the epiphyseal plate</w:t>
            </w:r>
          </w:p>
          <w:p>
            <w:pPr>
              <w:keepLines/>
              <w:pStyle w:val="CluesTiny"/>
            </w:pPr>
            <w:r>
              <w:rPr>
                <w:b w:val="true"/>
                <w:bCs w:val="true"/>
              </w:rPr>
              <w:t xml:space="preserve">32. </w:t>
            </w:r>
            <w:r>
              <w:t xml:space="preserve">Commonly called pinkeye, occurring when blood vessels dilate from allergens like pollen, bacterial infection, or virus</w:t>
            </w:r>
          </w:p>
          <w:p>
            <w:pPr>
              <w:keepLines/>
              <w:pStyle w:val="CluesTiny"/>
            </w:pPr>
            <w:r>
              <w:rPr>
                <w:b w:val="true"/>
                <w:bCs w:val="true"/>
              </w:rPr>
              <w:t xml:space="preserve">33. </w:t>
            </w:r>
            <w:r>
              <w:t xml:space="preserve">Hard protein material found in the epidermis, hair, and nails</w:t>
            </w:r>
          </w:p>
          <w:p>
            <w:pPr>
              <w:keepLines/>
              <w:pStyle w:val="CluesTiny"/>
            </w:pPr>
            <w:r>
              <w:rPr>
                <w:b w:val="true"/>
                <w:bCs w:val="true"/>
              </w:rPr>
              <w:t xml:space="preserve">34. </w:t>
            </w:r>
            <w:r>
              <w:t xml:space="preserve">Radiation therapy administered with the source at a distance from the body</w:t>
            </w:r>
          </w:p>
        </w:tc>
        <w:tc>
          <w:p>
            <w:pPr>
              <w:pStyle w:val="CluesTiny"/>
            </w:pPr>
            <w:r>
              <w:rPr>
                <w:b w:val="true"/>
                <w:bCs w:val="true"/>
              </w:rPr>
              <w:t xml:space="preserve">Down</w:t>
            </w:r>
          </w:p>
          <w:p>
            <w:pPr>
              <w:keepLines/>
              <w:pStyle w:val="CluesTiny"/>
            </w:pPr>
            <w:r>
              <w:rPr>
                <w:b w:val="true"/>
                <w:bCs w:val="true"/>
              </w:rPr>
              <w:t xml:space="preserve">3. </w:t>
            </w:r>
            <w:r>
              <w:t xml:space="preserve">excessive excretion of urine</w:t>
            </w:r>
          </w:p>
          <w:p>
            <w:pPr>
              <w:keepLines/>
              <w:pStyle w:val="CluesTiny"/>
            </w:pPr>
            <w:r>
              <w:rPr>
                <w:b w:val="true"/>
                <w:bCs w:val="true"/>
              </w:rPr>
              <w:t xml:space="preserve">4. </w:t>
            </w:r>
            <w:r>
              <w:t xml:space="preserve">microscopic definition of cells that are highly abnormal but not clearly cancerous</w:t>
            </w:r>
          </w:p>
          <w:p>
            <w:pPr>
              <w:keepLines/>
              <w:pStyle w:val="CluesTiny"/>
            </w:pPr>
            <w:r>
              <w:rPr>
                <w:b w:val="true"/>
                <w:bCs w:val="true"/>
              </w:rPr>
              <w:t xml:space="preserve">6. </w:t>
            </w:r>
            <w:r>
              <w:t xml:space="preserve">Immature bone marrow that gives rise to granulocytes</w:t>
            </w:r>
          </w:p>
          <w:p>
            <w:pPr>
              <w:keepLines/>
              <w:pStyle w:val="CluesTiny"/>
            </w:pPr>
            <w:r>
              <w:rPr>
                <w:b w:val="true"/>
                <w:bCs w:val="true"/>
              </w:rPr>
              <w:t xml:space="preserve">7. </w:t>
            </w:r>
            <w:r>
              <w:t xml:space="preserve">Beneath the finger or toe nail</w:t>
            </w:r>
          </w:p>
          <w:p>
            <w:pPr>
              <w:keepLines/>
              <w:pStyle w:val="CluesTiny"/>
            </w:pPr>
            <w:r>
              <w:rPr>
                <w:b w:val="true"/>
                <w:bCs w:val="true"/>
              </w:rPr>
              <w:t xml:space="preserve">9. </w:t>
            </w:r>
            <w:r>
              <w:t xml:space="preserve">the branch of surgery dealing with the preservation and restoration of the function of the skeletal system, its articulations, and associated structures</w:t>
            </w:r>
          </w:p>
          <w:p>
            <w:pPr>
              <w:keepLines/>
              <w:pStyle w:val="CluesTiny"/>
            </w:pPr>
            <w:r>
              <w:rPr>
                <w:b w:val="true"/>
                <w:bCs w:val="true"/>
              </w:rPr>
              <w:t xml:space="preserve">10. </w:t>
            </w:r>
            <w:r>
              <w:t xml:space="preserve">a radiograph of a blood vessel</w:t>
            </w:r>
          </w:p>
          <w:p>
            <w:pPr>
              <w:keepLines/>
              <w:pStyle w:val="CluesTiny"/>
            </w:pPr>
            <w:r>
              <w:rPr>
                <w:b w:val="true"/>
                <w:bCs w:val="true"/>
              </w:rPr>
              <w:t xml:space="preserve">12. </w:t>
            </w:r>
            <w:r>
              <w:t xml:space="preserve">Chronic psychotic disorder that may include hallucinations, disorganized speech and behavior, flat affect, and lack of initiative</w:t>
            </w:r>
          </w:p>
          <w:p>
            <w:pPr>
              <w:keepLines/>
              <w:pStyle w:val="CluesTiny"/>
            </w:pPr>
            <w:r>
              <w:rPr>
                <w:b w:val="true"/>
                <w:bCs w:val="true"/>
              </w:rPr>
              <w:t xml:space="preserve">13. </w:t>
            </w:r>
            <w:r>
              <w:t xml:space="preserve">This sarcoma of the nervous system origin affects infants and children up to the age of ten years, usually arising in immature tissues of the atomic nervous system or adrenal medulla</w:t>
            </w:r>
          </w:p>
          <w:p>
            <w:pPr>
              <w:keepLines/>
              <w:pStyle w:val="CluesTiny"/>
            </w:pPr>
            <w:r>
              <w:rPr>
                <w:b w:val="true"/>
                <w:bCs w:val="true"/>
              </w:rPr>
              <w:t xml:space="preserve">14. </w:t>
            </w:r>
            <w:r>
              <w:t xml:space="preserve">Drooping of the superior eyelid</w:t>
            </w:r>
          </w:p>
          <w:p>
            <w:pPr>
              <w:keepLines/>
              <w:pStyle w:val="CluesTiny"/>
            </w:pPr>
            <w:r>
              <w:rPr>
                <w:b w:val="true"/>
                <w:bCs w:val="true"/>
              </w:rPr>
              <w:t xml:space="preserve">15. </w:t>
            </w:r>
            <w:r>
              <w:t xml:space="preserve">generalized insufficiency of pituitary hormones, resulting from damage to or deficiency of the gland</w:t>
            </w:r>
          </w:p>
          <w:p>
            <w:pPr>
              <w:keepLines/>
              <w:pStyle w:val="CluesTiny"/>
            </w:pPr>
            <w:r>
              <w:rPr>
                <w:b w:val="true"/>
                <w:bCs w:val="true"/>
              </w:rPr>
              <w:t xml:space="preserve">18. </w:t>
            </w:r>
            <w:r>
              <w:t xml:space="preserve">diagnostic technique that projects and retrieves high-frequency sound waves as they echo off parts of the body</w:t>
            </w:r>
          </w:p>
          <w:p>
            <w:pPr>
              <w:keepLines/>
              <w:pStyle w:val="CluesTiny"/>
            </w:pPr>
            <w:r>
              <w:rPr>
                <w:b w:val="true"/>
                <w:bCs w:val="true"/>
              </w:rPr>
              <w:t xml:space="preserve">20. </w:t>
            </w:r>
            <w:r>
              <w:t xml:space="preserve">physician with medical training in the diagnosis, prevention, and treatment of mental disorders</w:t>
            </w:r>
          </w:p>
          <w:p>
            <w:pPr>
              <w:keepLines/>
              <w:pStyle w:val="CluesTiny"/>
            </w:pPr>
            <w:r>
              <w:rPr>
                <w:b w:val="true"/>
                <w:bCs w:val="true"/>
              </w:rPr>
              <w:t xml:space="preserve">21. </w:t>
            </w:r>
            <w:r>
              <w:t xml:space="preserve">a rapidly progressing, life-threatening allergic reaction</w:t>
            </w:r>
          </w:p>
          <w:p>
            <w:pPr>
              <w:keepLines/>
              <w:pStyle w:val="CluesTiny"/>
            </w:pPr>
            <w:r>
              <w:rPr>
                <w:b w:val="true"/>
                <w:bCs w:val="true"/>
              </w:rPr>
              <w:t xml:space="preserve">23. </w:t>
            </w:r>
            <w:r>
              <w:t xml:space="preserve">serving to prevent the clotting of blood</w:t>
            </w:r>
          </w:p>
          <w:p>
            <w:pPr>
              <w:keepLines/>
              <w:pStyle w:val="CluesTiny"/>
            </w:pPr>
            <w:r>
              <w:rPr>
                <w:b w:val="true"/>
                <w:bCs w:val="true"/>
              </w:rPr>
              <w:t xml:space="preserve">24. </w:t>
            </w:r>
            <w:r>
              <w:t xml:space="preserve">an abnormal, unexpected effect of a drug that is peculiar to an individual</w:t>
            </w:r>
          </w:p>
          <w:p>
            <w:pPr>
              <w:keepLines/>
              <w:pStyle w:val="CluesTiny"/>
            </w:pPr>
            <w:r>
              <w:rPr>
                <w:b w:val="true"/>
                <w:bCs w:val="true"/>
              </w:rPr>
              <w:t xml:space="preserve">26. </w:t>
            </w:r>
            <w:r>
              <w:t xml:space="preserve">An abnormally low level of serum iron</w:t>
            </w:r>
          </w:p>
          <w:p>
            <w:pPr>
              <w:keepLines/>
              <w:pStyle w:val="CluesTiny"/>
            </w:pPr>
            <w:r>
              <w:rPr>
                <w:b w:val="true"/>
                <w:bCs w:val="true"/>
              </w:rPr>
              <w:t xml:space="preserve">28. </w:t>
            </w:r>
            <w:r>
              <w:t xml:space="preserve">microscopic description of densely packed, fibrous tumor cell composition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Terminology II Final </dc:title>
  <dcterms:created xsi:type="dcterms:W3CDTF">2021-10-11T12:04:37Z</dcterms:created>
  <dcterms:modified xsi:type="dcterms:W3CDTF">2021-10-11T12:04:37Z</dcterms:modified>
</cp:coreProperties>
</file>