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Abbreviations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CBC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BMR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CBR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BMI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bx</w:t>
            </w:r>
          </w:p>
        </w:tc>
      </w:tr>
    </w:tbl>
    <w:p>
      <w:pPr>
        <w:pStyle w:val="WordBankLarge"/>
      </w:pPr>
      <w:r>
        <w:t xml:space="preserve">   below the knee amputation    </w:t>
      </w:r>
      <w:r>
        <w:t xml:space="preserve">   bowel movement    </w:t>
      </w:r>
      <w:r>
        <w:t xml:space="preserve">   blood mass index    </w:t>
      </w:r>
      <w:r>
        <w:t xml:space="preserve">   basal metabolic rate    </w:t>
      </w:r>
      <w:r>
        <w:t xml:space="preserve">   bathroom privileges    </w:t>
      </w:r>
      <w:r>
        <w:t xml:space="preserve">   breast self examination     </w:t>
      </w:r>
      <w:r>
        <w:t xml:space="preserve">   biopsy    </w:t>
      </w:r>
      <w:r>
        <w:t xml:space="preserve">   cancer    </w:t>
      </w:r>
      <w:r>
        <w:t xml:space="preserve">   coronary artery bypass    </w:t>
      </w:r>
      <w:r>
        <w:t xml:space="preserve">   coronary artery disease     </w:t>
      </w:r>
      <w:r>
        <w:t xml:space="preserve">   calorie    </w:t>
      </w:r>
      <w:r>
        <w:t xml:space="preserve">   computerized axial tomography    </w:t>
      </w:r>
      <w:r>
        <w:t xml:space="preserve">   catheter    </w:t>
      </w:r>
      <w:r>
        <w:t xml:space="preserve">   complete blood count     </w:t>
      </w:r>
      <w:r>
        <w:t xml:space="preserve">   complete bed 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Abbreviations #2</dc:title>
  <dcterms:created xsi:type="dcterms:W3CDTF">2021-10-11T12:06:48Z</dcterms:created>
  <dcterms:modified xsi:type="dcterms:W3CDTF">2021-10-11T12:06:48Z</dcterms:modified>
</cp:coreProperties>
</file>