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 Arthrodynia    </w:t>
      </w:r>
      <w:r>
        <w:t xml:space="preserve">   Umbilicocele    </w:t>
      </w:r>
      <w:r>
        <w:t xml:space="preserve">   Hypernasorrher    </w:t>
      </w:r>
      <w:r>
        <w:t xml:space="preserve">   Cholecystopathy    </w:t>
      </w:r>
      <w:r>
        <w:t xml:space="preserve">   Intercostal Edema    </w:t>
      </w:r>
      <w:r>
        <w:t xml:space="preserve">    Osteochondromalacia.    </w:t>
      </w:r>
      <w:r>
        <w:t xml:space="preserve">   Ophthalmology    </w:t>
      </w:r>
      <w:r>
        <w:t xml:space="preserve">   Ophthalmologists    </w:t>
      </w:r>
      <w:r>
        <w:t xml:space="preserve">   Optometry.    </w:t>
      </w:r>
      <w:r>
        <w:t xml:space="preserve">   Otorhinolaryngology.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2021-10-11T12:06:13Z</dcterms:created>
  <dcterms:modified xsi:type="dcterms:W3CDTF">2021-10-11T12:06:13Z</dcterms:modified>
</cp:coreProperties>
</file>