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Mental Capacity Act 2005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Healthcare Professionals    </w:t>
      </w:r>
      <w:r>
        <w:t xml:space="preserve">   Code of Conduct    </w:t>
      </w:r>
      <w:r>
        <w:t xml:space="preserve">   Legislation    </w:t>
      </w:r>
      <w:r>
        <w:t xml:space="preserve">   Power of Attorney    </w:t>
      </w:r>
      <w:r>
        <w:t xml:space="preserve">   Unwise decision    </w:t>
      </w:r>
      <w:r>
        <w:t xml:space="preserve">   Five Principles    </w:t>
      </w:r>
      <w:r>
        <w:t xml:space="preserve">   Best Interest    </w:t>
      </w:r>
      <w:r>
        <w:t xml:space="preserve">   Dementia    </w:t>
      </w:r>
      <w:r>
        <w:t xml:space="preserve">   Capacity    </w:t>
      </w:r>
      <w:r>
        <w:t xml:space="preserve">   Mental Capacity Act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Capacity Act 2005</dc:title>
  <dcterms:created xsi:type="dcterms:W3CDTF">2021-10-11T12:12:29Z</dcterms:created>
  <dcterms:modified xsi:type="dcterms:W3CDTF">2021-10-11T12:12:29Z</dcterms:modified>
</cp:coreProperties>
</file>