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Mental Health In Elderly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stress    </w:t>
      </w:r>
      <w:r>
        <w:t xml:space="preserve">   trauma    </w:t>
      </w:r>
      <w:r>
        <w:t xml:space="preserve">   schizophrenia    </w:t>
      </w:r>
      <w:r>
        <w:t xml:space="preserve">   crisis    </w:t>
      </w:r>
      <w:r>
        <w:t xml:space="preserve">   care plan    </w:t>
      </w:r>
      <w:r>
        <w:t xml:space="preserve">   art therapy    </w:t>
      </w:r>
      <w:r>
        <w:t xml:space="preserve">   alzheimer disease    </w:t>
      </w:r>
      <w:r>
        <w:t xml:space="preserve">   confusion    </w:t>
      </w:r>
      <w:r>
        <w:t xml:space="preserve">   withdrawal    </w:t>
      </w:r>
      <w:r>
        <w:t xml:space="preserve">   communication skills    </w:t>
      </w:r>
      <w:r>
        <w:t xml:space="preserve">   paranoia    </w:t>
      </w:r>
      <w:r>
        <w:t xml:space="preserve">   depression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Health In Elderly</dc:title>
  <dcterms:created xsi:type="dcterms:W3CDTF">2021-10-11T12:13:08Z</dcterms:created>
  <dcterms:modified xsi:type="dcterms:W3CDTF">2021-10-11T12:13:08Z</dcterms:modified>
</cp:coreProperties>
</file>