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Good quality of life    </w:t>
      </w:r>
      <w:r>
        <w:t xml:space="preserve">   High standard of living    </w:t>
      </w:r>
      <w:r>
        <w:t xml:space="preserve">   Better schools    </w:t>
      </w:r>
      <w:r>
        <w:t xml:space="preserve">   Job opportunities    </w:t>
      </w:r>
      <w:r>
        <w:t xml:space="preserve">   War    </w:t>
      </w:r>
      <w:r>
        <w:t xml:space="preserve">   Seasonal migration    </w:t>
      </w:r>
      <w:r>
        <w:t xml:space="preserve">   Emigration    </w:t>
      </w:r>
      <w:r>
        <w:t xml:space="preserve">   Push factors    </w:t>
      </w:r>
      <w:r>
        <w:t xml:space="preserve">   Pull factors    </w:t>
      </w:r>
      <w:r>
        <w:t xml:space="preserve">   Smuggling    </w:t>
      </w:r>
      <w:r>
        <w:t xml:space="preserve">   Refugee    </w:t>
      </w:r>
      <w:r>
        <w:t xml:space="preserve">   Immigrants    </w:t>
      </w:r>
      <w:r>
        <w:t xml:space="preserve">   Immigration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2021-10-11T12:23:12Z</dcterms:created>
  <dcterms:modified xsi:type="dcterms:W3CDTF">2021-10-11T12:23:12Z</dcterms:modified>
</cp:coreProperties>
</file>