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Monthly Budget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motor vehicle excise tax    </w:t>
      </w:r>
      <w:r>
        <w:t xml:space="preserve">   variable expenses    </w:t>
      </w:r>
      <w:r>
        <w:t xml:space="preserve">   savings    </w:t>
      </w:r>
      <w:r>
        <w:t xml:space="preserve">   net income    </w:t>
      </w:r>
      <w:r>
        <w:t xml:space="preserve">   miscellaneous    </w:t>
      </w:r>
      <w:r>
        <w:t xml:space="preserve">   luxuries    </w:t>
      </w:r>
      <w:r>
        <w:t xml:space="preserve">   gross income    </w:t>
      </w:r>
      <w:r>
        <w:t xml:space="preserve">   fixed expenses    </w:t>
      </w:r>
      <w:r>
        <w:t xml:space="preserve">   expenses    </w:t>
      </w:r>
      <w:r>
        <w:t xml:space="preserve">   deductions    </w:t>
      </w:r>
      <w:r>
        <w:t xml:space="preserve">   budget    </w:t>
      </w:r>
      <w:r>
        <w:t xml:space="preserve">   annual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Budget</dc:title>
  <dcterms:created xsi:type="dcterms:W3CDTF">2021-10-11T12:34:53Z</dcterms:created>
  <dcterms:modified xsi:type="dcterms:W3CDTF">2021-10-11T12:34:53Z</dcterms:modified>
</cp:coreProperties>
</file>