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Familair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 la televisión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hermano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comer chicharrones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 hermano(a)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Tocar el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Tocar 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Recibir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ride a bike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Conocer a alguien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Pasar un rato con los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caminar con el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poesía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poema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novela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cena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hacer ejercicio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parque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tienda </w:t>
            </w:r>
          </w:p>
        </w:tc>
      </w:tr>
    </w:tbl>
    <w:p>
      <w:pPr>
        <w:pStyle w:val="WordBankLarge"/>
      </w:pPr>
      <w:r>
        <w:t xml:space="preserve">   andar en bicicleta    </w:t>
      </w:r>
      <w:r>
        <w:t xml:space="preserve">   to walk the dog    </w:t>
      </w:r>
      <w:r>
        <w:t xml:space="preserve">   to have dinner, supper    </w:t>
      </w:r>
      <w:r>
        <w:t xml:space="preserve">   to eat pork rinds    </w:t>
      </w:r>
      <w:r>
        <w:t xml:space="preserve">   my brother (sister)    </w:t>
      </w:r>
      <w:r>
        <w:t xml:space="preserve">   to exercise     </w:t>
      </w:r>
      <w:r>
        <w:t xml:space="preserve">   supermarket    </w:t>
      </w:r>
      <w:r>
        <w:t xml:space="preserve">   to read    </w:t>
      </w:r>
      <w:r>
        <w:t xml:space="preserve">   Novel    </w:t>
      </w:r>
      <w:r>
        <w:t xml:space="preserve">   poem    </w:t>
      </w:r>
      <w:r>
        <w:t xml:space="preserve">   poetry    </w:t>
      </w:r>
      <w:r>
        <w:t xml:space="preserve">   To be going to    </w:t>
      </w:r>
      <w:r>
        <w:t xml:space="preserve">   My brother (sister)    </w:t>
      </w:r>
      <w:r>
        <w:t xml:space="preserve">   To spend time with friends     </w:t>
      </w:r>
      <w:r>
        <w:t xml:space="preserve">   To go for a walk    </w:t>
      </w:r>
      <w:r>
        <w:t xml:space="preserve">   To paint    </w:t>
      </w:r>
      <w:r>
        <w:t xml:space="preserve">   To prepare    </w:t>
      </w:r>
      <w:r>
        <w:t xml:space="preserve">   Supper, dinner    </w:t>
      </w:r>
      <w:r>
        <w:t xml:space="preserve">   Food, a meal    </w:t>
      </w:r>
      <w:r>
        <w:t xml:space="preserve">   To play the piano    </w:t>
      </w:r>
      <w:r>
        <w:t xml:space="preserve">   To Play the guitar     </w:t>
      </w:r>
      <w:r>
        <w:t xml:space="preserve">   To watch television     </w:t>
      </w:r>
      <w:r>
        <w:t xml:space="preserve">   To drink    </w:t>
      </w:r>
      <w:r>
        <w:t xml:space="preserve">   To understand     </w:t>
      </w:r>
      <w:r>
        <w:t xml:space="preserve">   To receive     </w:t>
      </w:r>
      <w:r>
        <w:t xml:space="preserve">   Museum     </w:t>
      </w:r>
      <w:r>
        <w:t xml:space="preserve">   Park    </w:t>
      </w:r>
      <w:r>
        <w:t xml:space="preserve">   Park    </w:t>
      </w:r>
      <w:r>
        <w:t xml:space="preserve">   To know, to be familiar with someone     </w:t>
      </w:r>
      <w:r>
        <w:t xml:space="preserve">   Theater     </w:t>
      </w:r>
      <w:r>
        <w:t xml:space="preserve">   Store    </w:t>
      </w:r>
      <w:r>
        <w:t xml:space="preserve">   Each, every    </w:t>
      </w:r>
      <w:r>
        <w:t xml:space="preserve">   People    </w:t>
      </w:r>
      <w:r>
        <w:t xml:space="preserve">   Problem 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Familair Vocab words </dc:title>
  <dcterms:created xsi:type="dcterms:W3CDTF">2021-10-11T12:36:13Z</dcterms:created>
  <dcterms:modified xsi:type="dcterms:W3CDTF">2021-10-11T12:36:13Z</dcterms:modified>
</cp:coreProperties>
</file>