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Nahrungsmittel aus Gewächshäusern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Tomaten    </w:t>
      </w:r>
      <w:r>
        <w:t xml:space="preserve">   Umweltbelastungen    </w:t>
      </w:r>
      <w:r>
        <w:t xml:space="preserve">   Düngermittel    </w:t>
      </w:r>
      <w:r>
        <w:t xml:space="preserve">   Steinwolle    </w:t>
      </w:r>
      <w:r>
        <w:t xml:space="preserve">   Künstlich    </w:t>
      </w:r>
      <w:r>
        <w:t xml:space="preserve">   exportieren    </w:t>
      </w:r>
      <w:r>
        <w:t xml:space="preserve">   Gemüse    </w:t>
      </w:r>
      <w:r>
        <w:t xml:space="preserve">   Gewächshäuser    </w:t>
      </w:r>
      <w:r>
        <w:t xml:space="preserve">   Niederlande    </w:t>
      </w:r>
      <w:r>
        <w:t xml:space="preserve">   Lebensmittel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Nahrungsmittel aus Gewächshäusern </dc:title>
  <dcterms:created xsi:type="dcterms:W3CDTF">2021-10-11T13:04:34Z</dcterms:created>
  <dcterms:modified xsi:type="dcterms:W3CDTF">2021-10-11T13:04:34Z</dcterms:modified>
</cp:coreProperties>
</file>