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God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 who Hears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Qadosh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Consuming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All Sufficient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lord my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God who sees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Mighty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Haggadol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my Provider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Gardener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 who is ready to 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 who is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Jealous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 of my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ShubNephesh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God who Loves</w:t>
            </w:r>
          </w:p>
        </w:tc>
      </w:tr>
    </w:tbl>
    <w:p>
      <w:pPr>
        <w:pStyle w:val="WordBankLarge"/>
      </w:pPr>
      <w:r>
        <w:t xml:space="preserve">   Elohiem    </w:t>
      </w:r>
      <w:r>
        <w:t xml:space="preserve">   El Sela    </w:t>
      </w:r>
      <w:r>
        <w:t xml:space="preserve">   Atik Yomin    </w:t>
      </w:r>
      <w:r>
        <w:t xml:space="preserve">   El Kanna    </w:t>
      </w:r>
      <w:r>
        <w:t xml:space="preserve">   Renewer of Life    </w:t>
      </w:r>
      <w:r>
        <w:t xml:space="preserve">   Great God    </w:t>
      </w:r>
      <w:r>
        <w:t xml:space="preserve">   Holy One    </w:t>
      </w:r>
      <w:r>
        <w:t xml:space="preserve">   Jehovah Jireh    </w:t>
      </w:r>
      <w:r>
        <w:t xml:space="preserve">   Eloheim Shama    </w:t>
      </w:r>
      <w:r>
        <w:t xml:space="preserve">   El Roi    </w:t>
      </w:r>
      <w:r>
        <w:t xml:space="preserve">   El Shaddai    </w:t>
      </w:r>
      <w:r>
        <w:t xml:space="preserve">   Jehovah Ezrah    </w:t>
      </w:r>
      <w:r>
        <w:t xml:space="preserve">   El Yeshauati    </w:t>
      </w:r>
      <w:r>
        <w:t xml:space="preserve">   El HaNeeman    </w:t>
      </w:r>
      <w:r>
        <w:t xml:space="preserve">   Elah Yerushalem    </w:t>
      </w:r>
      <w:r>
        <w:t xml:space="preserve">   Elohay Selichot    </w:t>
      </w:r>
      <w:r>
        <w:t xml:space="preserve">   Eloheim Ahavah    </w:t>
      </w:r>
      <w:r>
        <w:t xml:space="preserve">   Georgos    </w:t>
      </w:r>
      <w:r>
        <w:t xml:space="preserve">   Akal Esh    </w:t>
      </w:r>
      <w:r>
        <w:t xml:space="preserve">   Jehovah Uzzi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 1</dc:title>
  <dcterms:created xsi:type="dcterms:W3CDTF">2021-10-11T13:06:48Z</dcterms:created>
  <dcterms:modified xsi:type="dcterms:W3CDTF">2021-10-11T13:06:48Z</dcterms:modified>
</cp:coreProperties>
</file>