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Natural Nail Services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practice based on the belief that working on areas of reflex points found on the hands, feet, ears and face can reduce tension in the body's corresponding organs and gland structures</w:t>
            </w:r>
          </w:p>
          <w:p>
            <w:pPr>
              <w:keepLines/>
              <w:pStyle w:val="CluesTiny"/>
            </w:pPr>
            <w:r>
              <w:rPr>
                <w:b w:val="true"/>
                <w:bCs w:val="true"/>
              </w:rPr>
              <w:t xml:space="preserve">7. </w:t>
            </w:r>
            <w:r>
              <w:t xml:space="preserve">Foam, rubber or cotton disposable implements used to keep toes apart while polishing the nails</w:t>
            </w:r>
          </w:p>
          <w:p>
            <w:pPr>
              <w:keepLines/>
              <w:pStyle w:val="CluesTiny"/>
            </w:pPr>
            <w:r>
              <w:rPr>
                <w:b w:val="true"/>
                <w:bCs w:val="true"/>
              </w:rPr>
              <w:t xml:space="preserve">9. </w:t>
            </w:r>
            <w:r>
              <w:t xml:space="preserve">The act of causing tiny unseen openings in the skin that may allow entry by pathogenic microbes</w:t>
            </w:r>
          </w:p>
          <w:p>
            <w:pPr>
              <w:keepLines/>
              <w:pStyle w:val="CluesTiny"/>
            </w:pPr>
            <w:r>
              <w:rPr>
                <w:b w:val="true"/>
                <w:bCs w:val="true"/>
              </w:rPr>
              <w:t xml:space="preserve">11. </w:t>
            </w:r>
            <w:r>
              <w:t xml:space="preserve">Abbreviation for the type of infectious bacteria that is highly resistant to conventional treatments due an incorrect dose or choice of antibiotic</w:t>
            </w:r>
          </w:p>
          <w:p>
            <w:pPr>
              <w:keepLines/>
              <w:pStyle w:val="CluesTiny"/>
            </w:pPr>
            <w:r>
              <w:rPr>
                <w:b w:val="true"/>
                <w:bCs w:val="true"/>
              </w:rPr>
              <w:t xml:space="preserve">12. </w:t>
            </w:r>
            <w:r>
              <w:t xml:space="preserve">Also known as a pedicure paddle; a large abrasive file used to smooth and reduce thicker areas of callus</w:t>
            </w:r>
          </w:p>
          <w:p>
            <w:pPr>
              <w:keepLines/>
              <w:pStyle w:val="CluesTiny"/>
            </w:pPr>
            <w:r>
              <w:rPr>
                <w:b w:val="true"/>
                <w:bCs w:val="true"/>
              </w:rPr>
              <w:t xml:space="preserve">13. </w:t>
            </w:r>
            <w:r>
              <w:t xml:space="preserve">A small scoop-shaped implement used for more efficient removal of debris from the nail folds, eponychium and hyponychium</w:t>
            </w:r>
          </w:p>
          <w:p>
            <w:pPr>
              <w:keepLines/>
              <w:pStyle w:val="CluesTiny"/>
            </w:pPr>
            <w:r>
              <w:rPr>
                <w:b w:val="true"/>
                <w:bCs w:val="true"/>
              </w:rPr>
              <w:t xml:space="preserve">14. </w:t>
            </w:r>
            <w:r>
              <w:t xml:space="preserve">Professtional instruments with curved or straight jaws specifically designed for cutting toenails</w:t>
            </w:r>
          </w:p>
        </w:tc>
        <w:tc>
          <w:p>
            <w:pPr>
              <w:pStyle w:val="CluesTiny"/>
            </w:pPr>
            <w:r>
              <w:rPr>
                <w:b w:val="true"/>
                <w:bCs w:val="true"/>
              </w:rPr>
              <w:t xml:space="preserve">Down</w:t>
            </w:r>
          </w:p>
          <w:p>
            <w:pPr>
              <w:keepLines/>
              <w:pStyle w:val="CluesTiny"/>
            </w:pPr>
            <w:r>
              <w:rPr>
                <w:b w:val="true"/>
                <w:bCs w:val="true"/>
              </w:rPr>
              <w:t xml:space="preserve">1. </w:t>
            </w:r>
            <w:r>
              <w:t xml:space="preserve">A product containing gentle soaps and moisturizers that is used in a pedicure bath to cleanse and soften the skin</w:t>
            </w:r>
          </w:p>
          <w:p>
            <w:pPr>
              <w:keepLines/>
              <w:pStyle w:val="CluesTiny"/>
            </w:pPr>
            <w:r>
              <w:rPr>
                <w:b w:val="true"/>
                <w:bCs w:val="true"/>
              </w:rPr>
              <w:t xml:space="preserve">3. </w:t>
            </w:r>
            <w:r>
              <w:t xml:space="preserve">A product designed to soften and smooth thickened tissue, especially on the heels and over pressure points</w:t>
            </w:r>
          </w:p>
          <w:p>
            <w:pPr>
              <w:keepLines/>
              <w:pStyle w:val="CluesTiny"/>
            </w:pPr>
            <w:r>
              <w:rPr>
                <w:b w:val="true"/>
                <w:bCs w:val="true"/>
              </w:rPr>
              <w:t xml:space="preserve">4. </w:t>
            </w:r>
            <w:r>
              <w:t xml:space="preserve">A concentrated treatment product often composed of mineral clays, moisturizing agents, skin softeners, aromatherapy oils, botanical extracts, and other beneficial ingredients to cleanse, exfoliate, tighten, tone, hydrate and nourish the skin</w:t>
            </w:r>
          </w:p>
          <w:p>
            <w:pPr>
              <w:keepLines/>
              <w:pStyle w:val="CluesTiny"/>
            </w:pPr>
            <w:r>
              <w:rPr>
                <w:b w:val="true"/>
                <w:bCs w:val="true"/>
              </w:rPr>
              <w:t xml:space="preserve">5. </w:t>
            </w:r>
            <w:r>
              <w:t xml:space="preserve">A metal file with an edge that can file the nail plate only in one direction</w:t>
            </w:r>
          </w:p>
          <w:p>
            <w:pPr>
              <w:keepLines/>
              <w:pStyle w:val="CluesTiny"/>
            </w:pPr>
            <w:r>
              <w:rPr>
                <w:b w:val="true"/>
                <w:bCs w:val="true"/>
              </w:rPr>
              <w:t xml:space="preserve">6. </w:t>
            </w:r>
            <w:r>
              <w:t xml:space="preserve">A metal device designed specifically for cutting the toenails, larger than a fingernail clipper, with thicker blades</w:t>
            </w:r>
          </w:p>
          <w:p>
            <w:pPr>
              <w:keepLines/>
              <w:pStyle w:val="CluesTiny"/>
            </w:pPr>
            <w:r>
              <w:rPr>
                <w:b w:val="true"/>
                <w:bCs w:val="true"/>
              </w:rPr>
              <w:t xml:space="preserve">8. </w:t>
            </w:r>
            <w:r>
              <w:t xml:space="preserve">Type of scrub that is usually a water-based lotion containing a mild, gritty abrasive and moisturizers to help remove dry, flaky skin and reduce calluses</w:t>
            </w:r>
          </w:p>
          <w:p>
            <w:pPr>
              <w:keepLines/>
              <w:pStyle w:val="CluesTiny"/>
            </w:pPr>
            <w:r>
              <w:rPr>
                <w:b w:val="true"/>
                <w:bCs w:val="true"/>
              </w:rPr>
              <w:t xml:space="preserve">10. </w:t>
            </w:r>
            <w:r>
              <w:t xml:space="preserve">A cosmetic service performed on the feet by a licensed nail technician or esthetician that includes trimming, shaping, and exfoliating skin and polishing toenails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Nail Services</dc:title>
  <dcterms:created xsi:type="dcterms:W3CDTF">2021-10-11T13:11:02Z</dcterms:created>
  <dcterms:modified xsi:type="dcterms:W3CDTF">2021-10-11T13:11:02Z</dcterms:modified>
</cp:coreProperties>
</file>