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Neoclassical 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emphasizes the wall rather than chiaroscuro and maintains separate identities to each of its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morally uplifting, inspirational, presenting perfection and conscious mind, civic duty, pride and virtue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Known for his extravagant paintings and architecture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Igor Stravinsky, Paul Hindemith, Sergei Prokofiev, and Béla Bartók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“The Death of Socrates”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Depicts woman on swing with young man in the grass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Father of Neoclassical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English novelist who expanded the dramatic possibilities of the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Reaction against the baroque and rococo 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represents the enhancement of themes and aesthetic standards of the ancient classical art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Napoleon as Mars the Peacemaker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composers sought to return to aesthetic precepts associated with the broadly defined concept of "classicism", namely order, balance,clarity, economy, and emotional restraint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Italian word for baroque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emotional 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Embraced the enlightenment values of reason, logic, and the creation of a utopia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middle class sentiments and aspirations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generally applied to the period in European and North American thought that extends from about the middle of the 18th century to the early 19th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order and solemnity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Greek and Roman History, Mythology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emphasis on drawing, no visible brush strokes</w:t>
            </w:r>
          </w:p>
        </w:tc>
      </w:tr>
    </w:tbl>
    <w:p>
      <w:pPr>
        <w:pStyle w:val="WordBankLarge"/>
      </w:pPr>
      <w:r>
        <w:t xml:space="preserve">   neoclassical art    </w:t>
      </w:r>
      <w:r>
        <w:t xml:space="preserve">   neoclassical art    </w:t>
      </w:r>
      <w:r>
        <w:t xml:space="preserve">   neoclassical art    </w:t>
      </w:r>
      <w:r>
        <w:t xml:space="preserve">   values    </w:t>
      </w:r>
      <w:r>
        <w:t xml:space="preserve">   calm and rational    </w:t>
      </w:r>
      <w:r>
        <w:t xml:space="preserve">   subjects    </w:t>
      </w:r>
      <w:r>
        <w:t xml:space="preserve">   technique    </w:t>
      </w:r>
      <w:r>
        <w:t xml:space="preserve">   role of art    </w:t>
      </w:r>
      <w:r>
        <w:t xml:space="preserve">   Jacques Louis David    </w:t>
      </w:r>
      <w:r>
        <w:t xml:space="preserve">   Jacques Louis David     </w:t>
      </w:r>
      <w:r>
        <w:t xml:space="preserve">   Neoclassical Sculpture    </w:t>
      </w:r>
      <w:r>
        <w:t xml:space="preserve">    Antonio Canova    </w:t>
      </w:r>
      <w:r>
        <w:t xml:space="preserve">   Neoclassical Music    </w:t>
      </w:r>
      <w:r>
        <w:t xml:space="preserve">   Composers    </w:t>
      </w:r>
      <w:r>
        <w:t xml:space="preserve">   neoclassical architecture    </w:t>
      </w:r>
      <w:r>
        <w:t xml:space="preserve">   barocco    </w:t>
      </w:r>
      <w:r>
        <w:t xml:space="preserve">   Sensibility    </w:t>
      </w:r>
      <w:r>
        <w:t xml:space="preserve">   The Swing    </w:t>
      </w:r>
      <w:r>
        <w:t xml:space="preserve">   Watteau    </w:t>
      </w:r>
      <w:r>
        <w:t xml:space="preserve">   Richardson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Neoclassical art</dc:title>
  <dcterms:created xsi:type="dcterms:W3CDTF">2021-10-11T13:13:51Z</dcterms:created>
  <dcterms:modified xsi:type="dcterms:W3CDTF">2021-10-11T13:13:51Z</dcterms:modified>
</cp:coreProperties>
</file>