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England 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providence    </w:t>
      </w:r>
      <w:r>
        <w:t xml:space="preserve">   rhode island    </w:t>
      </w:r>
      <w:r>
        <w:t xml:space="preserve">   concord    </w:t>
      </w:r>
      <w:r>
        <w:t xml:space="preserve">   new hampshire    </w:t>
      </w:r>
      <w:r>
        <w:t xml:space="preserve">   montpellier    </w:t>
      </w:r>
      <w:r>
        <w:t xml:space="preserve">   vermont    </w:t>
      </w:r>
      <w:r>
        <w:t xml:space="preserve">   connecticut    </w:t>
      </w:r>
      <w:r>
        <w:t xml:space="preserve">   hartford    </w:t>
      </w:r>
      <w:r>
        <w:t xml:space="preserve">   augusta    </w:t>
      </w:r>
      <w:r>
        <w:t xml:space="preserve">   maine    </w:t>
      </w:r>
      <w:r>
        <w:t xml:space="preserve">   boston    </w:t>
      </w:r>
      <w:r>
        <w:t xml:space="preserve">   massachusetts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States and Capitals</dc:title>
  <dcterms:created xsi:type="dcterms:W3CDTF">2021-10-11T13:16:16Z</dcterms:created>
  <dcterms:modified xsi:type="dcterms:W3CDTF">2021-10-11T13:16:16Z</dcterms:modified>
</cp:coreProperties>
</file>