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Ireland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Titanic    </w:t>
      </w:r>
      <w:r>
        <w:t xml:space="preserve">   harland    </w:t>
      </w:r>
      <w:r>
        <w:t xml:space="preserve">   counties    </w:t>
      </w:r>
      <w:r>
        <w:t xml:space="preserve">   comber    </w:t>
      </w:r>
      <w:r>
        <w:t xml:space="preserve">   mournes    </w:t>
      </w:r>
      <w:r>
        <w:t xml:space="preserve">   causeway    </w:t>
      </w:r>
      <w:r>
        <w:t xml:space="preserve">   Fermanagh    </w:t>
      </w:r>
      <w:r>
        <w:t xml:space="preserve">   tyrone    </w:t>
      </w:r>
      <w:r>
        <w:t xml:space="preserve">   antrim    </w:t>
      </w:r>
      <w:r>
        <w:t xml:space="preserve">   belfast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  </dc:title>
  <dcterms:created xsi:type="dcterms:W3CDTF">2021-10-11T13:26:25Z</dcterms:created>
  <dcterms:modified xsi:type="dcterms:W3CDTF">2021-10-11T13:26:25Z</dcterms:modified>
</cp:coreProperties>
</file>