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Nouns/Articles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Article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Article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Article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Article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Noun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Article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Article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Article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Noun</w:t>
            </w:r>
          </w:p>
        </w:tc>
      </w:tr>
    </w:tbl>
    <w:p>
      <w:pPr>
        <w:pStyle w:val="WordBankMedium"/>
      </w:pPr>
      <w:r>
        <w:t xml:space="preserve">   La cocina    </w:t>
      </w:r>
      <w:r>
        <w:t xml:space="preserve">   La sala    </w:t>
      </w:r>
      <w:r>
        <w:t xml:space="preserve">   El comedor    </w:t>
      </w:r>
      <w:r>
        <w:t xml:space="preserve">   El sotano    </w:t>
      </w:r>
      <w:r>
        <w:t xml:space="preserve">   El atico    </w:t>
      </w:r>
      <w:r>
        <w:t xml:space="preserve">   El despacho    </w:t>
      </w:r>
      <w:r>
        <w:t xml:space="preserve">   La planta baja    </w:t>
      </w:r>
      <w:r>
        <w:t xml:space="preserve">   EL garaje    </w:t>
      </w:r>
      <w:r>
        <w:t xml:space="preserve">   Arreglar el cuatro    </w:t>
      </w:r>
      <w:r>
        <w:t xml:space="preserve">   Lavar los platos    </w:t>
      </w:r>
      <w:r>
        <w:t xml:space="preserve">   Sacar la basura    </w:t>
      </w:r>
      <w:r>
        <w:t xml:space="preserve">   Poner la mesa    </w:t>
      </w:r>
      <w:r>
        <w:t xml:space="preserve">   Quitar el polvo    </w:t>
      </w:r>
      <w:r>
        <w:t xml:space="preserve">   Cocinar    </w:t>
      </w:r>
      <w:r>
        <w:t xml:space="preserve">   Dar de comer al perro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Nouns/Articles</dc:title>
  <dcterms:created xsi:type="dcterms:W3CDTF">2021-10-11T13:28:11Z</dcterms:created>
  <dcterms:modified xsi:type="dcterms:W3CDTF">2021-10-11T13:28:11Z</dcterms:modified>
</cp:coreProperties>
</file>