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that shows the first quantity has a greater value than the second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numbers consisting of the natural numbers, their opposites, and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number from the set that includes rational and irrational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divide two numbers with the same base, add the exponents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nonzero power raised to the power of zero is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number that can be expressed as the ratio of two integers, excluding division by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power, the number that is used as a factor the number of times indicated by the exponent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symbol which indicates the principal square root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find a power of a product, find the power of each factor and multiply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number whose square root is a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letter or symbol that represents a number or set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equation stating that 2 ratios are equal in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value that does not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unit rate in which the numerator is an amount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multiply two numbers with the same base, add the exponents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 equation that represents a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mathematical sentence with an equal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Operations that undo one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from the set that includes the counting numbers and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of 3 equal factors of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Terms that have the same variable raised to the same power, or terms that have the same radical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raise a quotient to a power, raise both the numerator and denominator to that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that shows the first quantity has a lesser value than the second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numbers whose product is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number that is not rational: can be expressed as non-repeating and non-terminating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decimal that has digits that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decimal with one or more digits that repeat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10 used as a base with an exponent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raise a power to a power, multiply the exponents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comparison of two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written with a and an exponent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symbol that shows two quantities have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number whose cube root is a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number,variable, product, or quotient in an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mathematical arrangement of numbers and/or variables connected by one or more operations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rate that, when expressed as a fraction, has a 1 in the denominator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of the two equal factors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number under a radical sign </w:t>
            </w:r>
          </w:p>
        </w:tc>
      </w:tr>
    </w:tbl>
    <w:p>
      <w:pPr>
        <w:pStyle w:val="WordBankLarge"/>
      </w:pPr>
      <w:r>
        <w:t xml:space="preserve">   whole number    </w:t>
      </w:r>
      <w:r>
        <w:t xml:space="preserve">   Integer    </w:t>
      </w:r>
      <w:r>
        <w:t xml:space="preserve">   Rational Numbers     </w:t>
      </w:r>
      <w:r>
        <w:t xml:space="preserve">   Terminating decimal     </w:t>
      </w:r>
      <w:r>
        <w:t xml:space="preserve">   repeating decimal     </w:t>
      </w:r>
      <w:r>
        <w:t xml:space="preserve">   square root     </w:t>
      </w:r>
      <w:r>
        <w:t xml:space="preserve">   perfect square     </w:t>
      </w:r>
      <w:r>
        <w:t xml:space="preserve">   radical    </w:t>
      </w:r>
      <w:r>
        <w:t xml:space="preserve">   real number     </w:t>
      </w:r>
      <w:r>
        <w:t xml:space="preserve">   ratio    </w:t>
      </w:r>
      <w:r>
        <w:t xml:space="preserve">   irrational numbers     </w:t>
      </w:r>
      <w:r>
        <w:t xml:space="preserve">   equal to     </w:t>
      </w:r>
      <w:r>
        <w:t xml:space="preserve">   greater than    </w:t>
      </w:r>
      <w:r>
        <w:t xml:space="preserve">   less than    </w:t>
      </w:r>
      <w:r>
        <w:t xml:space="preserve">   expression     </w:t>
      </w:r>
      <w:r>
        <w:t xml:space="preserve">   exponential form    </w:t>
      </w:r>
      <w:r>
        <w:t xml:space="preserve">   base     </w:t>
      </w:r>
      <w:r>
        <w:t xml:space="preserve">   Reciprocal     </w:t>
      </w:r>
      <w:r>
        <w:t xml:space="preserve">   product of powers    </w:t>
      </w:r>
      <w:r>
        <w:t xml:space="preserve">   quotient of powers     </w:t>
      </w:r>
      <w:r>
        <w:t xml:space="preserve">   power of a power    </w:t>
      </w:r>
      <w:r>
        <w:t xml:space="preserve">   power of zero    </w:t>
      </w:r>
      <w:r>
        <w:t xml:space="preserve">   power of a product     </w:t>
      </w:r>
      <w:r>
        <w:t xml:space="preserve">   power of a quotient     </w:t>
      </w:r>
      <w:r>
        <w:t xml:space="preserve">   perfect cube     </w:t>
      </w:r>
      <w:r>
        <w:t xml:space="preserve">   radicand     </w:t>
      </w:r>
      <w:r>
        <w:t xml:space="preserve">   cube root     </w:t>
      </w:r>
      <w:r>
        <w:t xml:space="preserve">   equation     </w:t>
      </w:r>
      <w:r>
        <w:t xml:space="preserve">   variable     </w:t>
      </w:r>
      <w:r>
        <w:t xml:space="preserve">   constant     </w:t>
      </w:r>
      <w:r>
        <w:t xml:space="preserve">   linear equation     </w:t>
      </w:r>
      <w:r>
        <w:t xml:space="preserve">   inverse operation     </w:t>
      </w:r>
      <w:r>
        <w:t xml:space="preserve">   like terms     </w:t>
      </w:r>
      <w:r>
        <w:t xml:space="preserve">   terms    </w:t>
      </w:r>
      <w:r>
        <w:t xml:space="preserve">   unit rate     </w:t>
      </w:r>
      <w:r>
        <w:t xml:space="preserve">   power of 10    </w:t>
      </w:r>
      <w:r>
        <w:t xml:space="preserve">   unit price     </w:t>
      </w:r>
      <w:r>
        <w:t xml:space="preserve">   proportion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Systems</dc:title>
  <dcterms:created xsi:type="dcterms:W3CDTF">2021-10-11T13:30:12Z</dcterms:created>
  <dcterms:modified xsi:type="dcterms:W3CDTF">2021-10-11T13:30:12Z</dcterms:modified>
</cp:coreProperties>
</file>