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Libel    </w:t>
      </w:r>
      <w:r>
        <w:t xml:space="preserve">   Criminal law    </w:t>
      </w:r>
      <w:r>
        <w:t xml:space="preserve">   Assault    </w:t>
      </w:r>
      <w:r>
        <w:t xml:space="preserve">   Financial abuse    </w:t>
      </w:r>
      <w:r>
        <w:t xml:space="preserve">   Etiquette    </w:t>
      </w:r>
      <w:r>
        <w:t xml:space="preserve">   Laws    </w:t>
      </w:r>
      <w:r>
        <w:t xml:space="preserve">   OBRA    </w:t>
      </w:r>
      <w:r>
        <w:t xml:space="preserve">   HIPAA    </w:t>
      </w:r>
      <w:r>
        <w:t xml:space="preserve">   Misappropriation    </w:t>
      </w:r>
      <w:r>
        <w:t xml:space="preserve">   Battery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2</dc:title>
  <dcterms:created xsi:type="dcterms:W3CDTF">2021-10-11T13:33:06Z</dcterms:created>
  <dcterms:modified xsi:type="dcterms:W3CDTF">2021-10-11T13:33:06Z</dcterms:modified>
</cp:coreProperties>
</file>