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for Older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Metabolic Rate     </w:t>
      </w:r>
      <w:r>
        <w:t xml:space="preserve">   Protein     </w:t>
      </w:r>
      <w:r>
        <w:t xml:space="preserve">   Malnutrition     </w:t>
      </w:r>
      <w:r>
        <w:t xml:space="preserve">   Undernutrition     </w:t>
      </w:r>
      <w:r>
        <w:t xml:space="preserve">   Malnourished     </w:t>
      </w:r>
      <w:r>
        <w:t xml:space="preserve">   Healthier Choices    </w:t>
      </w:r>
      <w:r>
        <w:t xml:space="preserve">   Muscle Weakness    </w:t>
      </w:r>
      <w:r>
        <w:t xml:space="preserve">   Exercise    </w:t>
      </w:r>
      <w:r>
        <w:t xml:space="preserve">   Diet     </w:t>
      </w:r>
      <w:r>
        <w:t xml:space="preserve">   Management     </w:t>
      </w:r>
      <w:r>
        <w:t xml:space="preserve">   Socialization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for Older Adults</dc:title>
  <dcterms:created xsi:type="dcterms:W3CDTF">2021-10-11T13:33:09Z</dcterms:created>
  <dcterms:modified xsi:type="dcterms:W3CDTF">2021-10-11T13:33:09Z</dcterms:modified>
</cp:coreProperties>
</file>