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OSBORN FAMILY HEALTH CENTER, INC.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sabrina cannady    </w:t>
      </w:r>
      <w:r>
        <w:t xml:space="preserve">   nancy lee    </w:t>
      </w:r>
      <w:r>
        <w:t xml:space="preserve">   chief director of nursing    </w:t>
      </w:r>
      <w:r>
        <w:t xml:space="preserve">   chief financial officier    </w:t>
      </w:r>
      <w:r>
        <w:t xml:space="preserve">   chief operating officier    </w:t>
      </w:r>
      <w:r>
        <w:t xml:space="preserve">   dr. melchorie    </w:t>
      </w:r>
      <w:r>
        <w:t xml:space="preserve">   dr. ashong    </w:t>
      </w:r>
      <w:r>
        <w:t xml:space="preserve">   chief medical director    </w:t>
      </w:r>
      <w:r>
        <w:t xml:space="preserve">   access interviewer    </w:t>
      </w:r>
      <w:r>
        <w:t xml:space="preserve">   osborn family health center    </w:t>
      </w:r>
      <w:r>
        <w:t xml:space="preserve">   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OSBORN FAMILY HEALTH CENTER, INC.</dc:title>
  <dcterms:created xsi:type="dcterms:W3CDTF">2021-10-12T20:50:39Z</dcterms:created>
  <dcterms:modified xsi:type="dcterms:W3CDTF">2021-10-12T20:50:39Z</dcterms:modified>
</cp:coreProperties>
</file>