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Political Agenda    </w:t>
      </w:r>
      <w:r>
        <w:t xml:space="preserve">   AAJC    </w:t>
      </w:r>
      <w:r>
        <w:t xml:space="preserve">   Semiprofessional    </w:t>
      </w:r>
      <w:r>
        <w:t xml:space="preserve">   Occupational    </w:t>
      </w:r>
      <w:r>
        <w:t xml:space="preserve">   Career Education    </w:t>
      </w:r>
      <w:r>
        <w:t xml:space="preserve">   Economic Agenda    </w:t>
      </w:r>
      <w:r>
        <w:t xml:space="preserve">   Terminal Education Agenda    </w:t>
      </w:r>
      <w:r>
        <w:t xml:space="preserve">   Contract Training    </w:t>
      </w:r>
      <w:r>
        <w:t xml:space="preserve">   Vocational Educational Act    </w:t>
      </w:r>
      <w:r>
        <w:t xml:space="preserve">   Technical    </w:t>
      </w:r>
      <w:r>
        <w:t xml:space="preserve">   Vocational    </w:t>
      </w:r>
      <w:r>
        <w:t xml:space="preserve">   Terminal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Education</dc:title>
  <dcterms:created xsi:type="dcterms:W3CDTF">2021-10-11T13:35:29Z</dcterms:created>
  <dcterms:modified xsi:type="dcterms:W3CDTF">2021-10-11T13:35:29Z</dcterms:modified>
</cp:coreProperties>
</file>