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Occupational Therapy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learning    </w:t>
      </w:r>
      <w:r>
        <w:t xml:space="preserve">   environment    </w:t>
      </w:r>
      <w:r>
        <w:t xml:space="preserve">   leisure    </w:t>
      </w:r>
      <w:r>
        <w:t xml:space="preserve">   productivity    </w:t>
      </w:r>
      <w:r>
        <w:t xml:space="preserve">   selfcare    </w:t>
      </w:r>
      <w:r>
        <w:t xml:space="preserve">   wheelchair    </w:t>
      </w:r>
      <w:r>
        <w:t xml:space="preserve">   adaptation    </w:t>
      </w:r>
      <w:r>
        <w:t xml:space="preserve">   finemotor    </w:t>
      </w:r>
      <w:r>
        <w:t xml:space="preserve">   posture    </w:t>
      </w:r>
      <w:r>
        <w:t xml:space="preserve">   independence    </w:t>
      </w:r>
      <w:r>
        <w:t xml:space="preserve">   sensory    </w:t>
      </w:r>
      <w:r>
        <w:t xml:space="preserve">   occupation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Occupational Therapy</dc:title>
  <dcterms:created xsi:type="dcterms:W3CDTF">2021-10-11T13:36:22Z</dcterms:created>
  <dcterms:modified xsi:type="dcterms:W3CDTF">2021-10-11T13:36:22Z</dcterms:modified>
</cp:coreProperties>
</file>