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Oral Antihyperglycemic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medication    </w:t>
      </w:r>
      <w:r>
        <w:t xml:space="preserve">   diabeta    </w:t>
      </w:r>
      <w:r>
        <w:t xml:space="preserve">   category    </w:t>
      </w:r>
      <w:r>
        <w:t xml:space="preserve">   classification    </w:t>
      </w:r>
      <w:r>
        <w:t xml:space="preserve">   gliclazide    </w:t>
      </w:r>
      <w:r>
        <w:t xml:space="preserve">   metformin    </w:t>
      </w:r>
      <w:r>
        <w:t xml:space="preserve">   effectiveness    </w:t>
      </w:r>
      <w:r>
        <w:t xml:space="preserve">   implementation    </w:t>
      </w:r>
      <w:r>
        <w:t xml:space="preserve">   administer    </w:t>
      </w:r>
      <w:r>
        <w:t xml:space="preserve">   monitoring    </w:t>
      </w:r>
      <w:r>
        <w:t xml:space="preserve">   considerations    </w:t>
      </w:r>
      <w:r>
        <w:t xml:space="preserve">   sideeffects    </w:t>
      </w:r>
      <w:r>
        <w:t xml:space="preserve">   sodiumglucose    </w:t>
      </w:r>
      <w:r>
        <w:t xml:space="preserve">   glucosidase    </w:t>
      </w:r>
      <w:r>
        <w:t xml:space="preserve">   inhibitors    </w:t>
      </w:r>
      <w:r>
        <w:t xml:space="preserve">   thiazolidinediones    </w:t>
      </w:r>
      <w:r>
        <w:t xml:space="preserve">   glinides    </w:t>
      </w:r>
      <w:r>
        <w:t xml:space="preserve">   sulfonylureas    </w:t>
      </w:r>
      <w:r>
        <w:t xml:space="preserve">   biguanides    </w:t>
      </w:r>
      <w:r>
        <w:t xml:space="preserve">   antihyperglycemic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Antihyperglycemic</dc:title>
  <dcterms:created xsi:type="dcterms:W3CDTF">2021-10-11T13:46:50Z</dcterms:created>
  <dcterms:modified xsi:type="dcterms:W3CDTF">2021-10-11T13:46:50Z</dcterms:modified>
</cp:coreProperties>
</file>