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dental access    </w:t>
      </w:r>
      <w:r>
        <w:t xml:space="preserve">   dental workforce    </w:t>
      </w:r>
      <w:r>
        <w:t xml:space="preserve">   evaluation    </w:t>
      </w:r>
      <w:r>
        <w:t xml:space="preserve">   fluoridation    </w:t>
      </w:r>
      <w:r>
        <w:t xml:space="preserve">   funding    </w:t>
      </w:r>
      <w:r>
        <w:t xml:space="preserve">   grants    </w:t>
      </w:r>
      <w:r>
        <w:t xml:space="preserve">   oral systemic health    </w:t>
      </w:r>
      <w:r>
        <w:t xml:space="preserve">   policy    </w:t>
      </w:r>
      <w:r>
        <w:t xml:space="preserve">   prevention    </w:t>
      </w:r>
      <w:r>
        <w:t xml:space="preserve">   Seal A Smile    </w:t>
      </w:r>
      <w:r>
        <w:t xml:space="preserve">   surveillance    </w:t>
      </w:r>
      <w:r>
        <w:t xml:space="preserve">   tooth decay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</dc:title>
  <dcterms:created xsi:type="dcterms:W3CDTF">2021-10-11T13:47:10Z</dcterms:created>
  <dcterms:modified xsi:type="dcterms:W3CDTF">2021-10-11T13:47:10Z</dcterms:modified>
</cp:coreProperties>
</file>