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Patagonia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Andes    </w:t>
      </w:r>
      <w:r>
        <w:t xml:space="preserve">   Ariannin    </w:t>
      </w:r>
      <w:r>
        <w:t xml:space="preserve">   Gobaith    </w:t>
      </w:r>
      <w:r>
        <w:t xml:space="preserve">   Lerpwl    </w:t>
      </w:r>
      <w:r>
        <w:t xml:space="preserve">   Lloegr    </w:t>
      </w:r>
      <w:r>
        <w:t xml:space="preserve">   Mimosa    </w:t>
      </w:r>
      <w:r>
        <w:t xml:space="preserve">   Peryglus    </w:t>
      </w:r>
      <w:r>
        <w:t xml:space="preserve">   Sych    </w:t>
      </w:r>
      <w:r>
        <w:t xml:space="preserve">   Wladfa    </w:t>
      </w:r>
      <w:r>
        <w:t xml:space="preserve">   Ymfudwyr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Patagonia</dc:title>
  <dcterms:created xsi:type="dcterms:W3CDTF">2021-10-11T14:06:18Z</dcterms:created>
  <dcterms:modified xsi:type="dcterms:W3CDTF">2021-10-11T14:06:18Z</dcterms:modified>
</cp:coreProperties>
</file>