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with properties that fall between metals and non-metals.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row in the table of elements in figure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and motion of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Dense, positively charged mass located in the center of the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in group 2a.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Elements in group 8a.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column on the periodic table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that are poor conductor of heat and electric current.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Equals the number of protons in an atom.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Atoms of the same element that have different numbers of neutrons and different mass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Neutral subatomic particle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arrangement of elements in columns, based on a set of properties that repeat from row to row.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of the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subatomic particle that is found in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space around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in the atom with the lowest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form a bridge between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the protons and neutrons in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energies in an electron.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that is in the highest occupied energy level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subatomic particle found outside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that are good conductors of electric current and heat.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in group 7a.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elements in group 1a. 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Ground State    </w:t>
      </w:r>
      <w:r>
        <w:t xml:space="preserve">   Electron configuration    </w:t>
      </w:r>
      <w:r>
        <w:t xml:space="preserve">   Neutron    </w:t>
      </w:r>
      <w:r>
        <w:t xml:space="preserve">   Atomic Number     </w:t>
      </w:r>
      <w:r>
        <w:t xml:space="preserve">   Mass number     </w:t>
      </w:r>
      <w:r>
        <w:t xml:space="preserve">   Energy levels     </w:t>
      </w:r>
      <w:r>
        <w:t xml:space="preserve">   Isotopes     </w:t>
      </w:r>
      <w:r>
        <w:t xml:space="preserve">   Electron cloud    </w:t>
      </w:r>
      <w:r>
        <w:t xml:space="preserve">   Orbital     </w:t>
      </w:r>
      <w:r>
        <w:t xml:space="preserve">   Noble gases    </w:t>
      </w:r>
      <w:r>
        <w:t xml:space="preserve">   Halogens    </w:t>
      </w:r>
      <w:r>
        <w:t xml:space="preserve">   Alkaline Earth Metals     </w:t>
      </w:r>
      <w:r>
        <w:t xml:space="preserve">   Periodic Table     </w:t>
      </w:r>
      <w:r>
        <w:t xml:space="preserve">   Period    </w:t>
      </w:r>
      <w:r>
        <w:t xml:space="preserve">   Group    </w:t>
      </w:r>
      <w:r>
        <w:t xml:space="preserve">   Metals    </w:t>
      </w:r>
      <w:r>
        <w:t xml:space="preserve">   Transition Metals     </w:t>
      </w:r>
      <w:r>
        <w:t xml:space="preserve">   Non metals     </w:t>
      </w:r>
      <w:r>
        <w:t xml:space="preserve">   Metalloids    </w:t>
      </w:r>
      <w:r>
        <w:t xml:space="preserve">   Valence Electrons     </w:t>
      </w:r>
      <w:r>
        <w:t xml:space="preserve">   Alkali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2021-10-12T20:26:47Z</dcterms:created>
  <dcterms:modified xsi:type="dcterms:W3CDTF">2021-10-12T20:26:47Z</dcterms:modified>
</cp:coreProperties>
</file>