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trends!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periodic trends    </w:t>
      </w:r>
      <w:r>
        <w:t xml:space="preserve">   covalent bonds    </w:t>
      </w:r>
      <w:r>
        <w:t xml:space="preserve">   cations    </w:t>
      </w:r>
      <w:r>
        <w:t xml:space="preserve">   conductivity    </w:t>
      </w:r>
      <w:r>
        <w:t xml:space="preserve">   delocalised    </w:t>
      </w:r>
      <w:r>
        <w:t xml:space="preserve">   electrostatic    </w:t>
      </w:r>
      <w:r>
        <w:t xml:space="preserve">   giant covalent structures    </w:t>
      </w:r>
      <w:r>
        <w:t xml:space="preserve">   melting point    </w:t>
      </w:r>
      <w:r>
        <w:t xml:space="preserve">   metallic bonding    </w:t>
      </w:r>
      <w:r>
        <w:t xml:space="preserve">   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trends!</dc:title>
  <dcterms:created xsi:type="dcterms:W3CDTF">2021-10-11T14:14:35Z</dcterms:created>
  <dcterms:modified xsi:type="dcterms:W3CDTF">2021-10-11T14:14:35Z</dcterms:modified>
</cp:coreProperties>
</file>