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Person-Centred Practice and Child-Centred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equipment    </w:t>
      </w:r>
      <w:r>
        <w:t xml:space="preserve">   task    </w:t>
      </w:r>
      <w:r>
        <w:t xml:space="preserve">   space    </w:t>
      </w:r>
      <w:r>
        <w:t xml:space="preserve">   services    </w:t>
      </w:r>
      <w:r>
        <w:t xml:space="preserve">   choices    </w:t>
      </w:r>
      <w:r>
        <w:t xml:space="preserve">   needs    </w:t>
      </w:r>
      <w:r>
        <w:t xml:space="preserve">   individual    </w:t>
      </w:r>
      <w:r>
        <w:t xml:space="preserve">   dislikes    </w:t>
      </w:r>
      <w:r>
        <w:t xml:space="preserve">   wishes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Person-Centred Practice and Child-Centred Practice </dc:title>
  <dcterms:created xsi:type="dcterms:W3CDTF">2021-10-12T20:20:47Z</dcterms:created>
  <dcterms:modified xsi:type="dcterms:W3CDTF">2021-10-12T20:20:47Z</dcterms:modified>
</cp:coreProperties>
</file>