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Financial Planning    </w:t>
      </w:r>
      <w:r>
        <w:t xml:space="preserve">   Budgeting    </w:t>
      </w:r>
      <w:r>
        <w:t xml:space="preserve">   Interest    </w:t>
      </w:r>
      <w:r>
        <w:t xml:space="preserve">   Tax Free Savings    </w:t>
      </w:r>
      <w:r>
        <w:t xml:space="preserve">   TFSA    </w:t>
      </w:r>
      <w:r>
        <w:t xml:space="preserve">   Services    </w:t>
      </w:r>
      <w:r>
        <w:t xml:space="preserve">   Goods    </w:t>
      </w:r>
      <w:r>
        <w:t xml:space="preserve">   GST    </w:t>
      </w:r>
      <w:r>
        <w:t xml:space="preserve">   Savings    </w:t>
      </w:r>
      <w:r>
        <w:t xml:space="preserve">   Expenses    </w:t>
      </w:r>
      <w:r>
        <w:t xml:space="preserve">   Personal Finance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Finances</dc:title>
  <dcterms:created xsi:type="dcterms:W3CDTF">2021-10-12T20:50:32Z</dcterms:created>
  <dcterms:modified xsi:type="dcterms:W3CDTF">2021-10-12T20:50:32Z</dcterms:modified>
</cp:coreProperties>
</file>