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 Financial Management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Net Profit,    </w:t>
      </w:r>
      <w:r>
        <w:t xml:space="preserve">   , Inventory    </w:t>
      </w:r>
      <w:r>
        <w:t xml:space="preserve">   Accounts Receivable    </w:t>
      </w:r>
      <w:r>
        <w:t xml:space="preserve">   Capital    </w:t>
      </w:r>
      <w:r>
        <w:t xml:space="preserve">   Cash    </w:t>
      </w:r>
      <w:r>
        <w:t xml:space="preserve">   Current Asset    </w:t>
      </w:r>
      <w:r>
        <w:t xml:space="preserve">   Current Liabilities    </w:t>
      </w:r>
      <w:r>
        <w:t xml:space="preserve">   Equipment, Computer    </w:t>
      </w:r>
      <w:r>
        <w:t xml:space="preserve">   Non-Current Asset    </w:t>
      </w:r>
      <w:r>
        <w:t xml:space="preserve">   Non-Current Liabilities    </w:t>
      </w:r>
      <w:r>
        <w:t xml:space="preserve">   Owner’s Equity    </w:t>
      </w:r>
      <w:r>
        <w:t xml:space="preserve">   The Balance Sheet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Financial Management word search</dc:title>
  <dcterms:created xsi:type="dcterms:W3CDTF">2021-10-12T20:52:01Z</dcterms:created>
  <dcterms:modified xsi:type="dcterms:W3CDTF">2021-10-12T20:52:01Z</dcterms:modified>
</cp:coreProperties>
</file>