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Direct Address    </w:t>
      </w:r>
      <w:r>
        <w:t xml:space="preserve">   Emotive Language    </w:t>
      </w:r>
      <w:r>
        <w:t xml:space="preserve">   Fact    </w:t>
      </w:r>
      <w:r>
        <w:t xml:space="preserve">   Metaphor    </w:t>
      </w:r>
      <w:r>
        <w:t xml:space="preserve">   Onomatopoeia    </w:t>
      </w:r>
      <w:r>
        <w:t xml:space="preserve">   Opinion    </w:t>
      </w:r>
      <w:r>
        <w:t xml:space="preserve">   Personification    </w:t>
      </w:r>
      <w:r>
        <w:t xml:space="preserve">   Rhetorical Question    </w:t>
      </w:r>
      <w:r>
        <w:t xml:space="preserve">   Rule of Three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2021-10-11T14:17:37Z</dcterms:created>
  <dcterms:modified xsi:type="dcterms:W3CDTF">2021-10-11T14:17:37Z</dcterms:modified>
</cp:coreProperties>
</file>