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Phineas Gage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bundle of neurons that connects the left and right hemispheres of the cortex</w:t>
            </w:r>
          </w:p>
          <w:p>
            <w:pPr>
              <w:keepLines/>
              <w:pStyle w:val="CluesTiny"/>
            </w:pPr>
            <w:r>
              <w:rPr>
                <w:b w:val="true"/>
                <w:bCs w:val="true"/>
              </w:rPr>
              <w:t xml:space="preserve">4. </w:t>
            </w:r>
            <w:r>
              <w:t xml:space="preserve">the space that divides the left and right hemispheres of the cortex</w:t>
            </w:r>
          </w:p>
          <w:p>
            <w:pPr>
              <w:keepLines/>
              <w:pStyle w:val="CluesTiny"/>
            </w:pPr>
            <w:r>
              <w:rPr>
                <w:b w:val="true"/>
                <w:bCs w:val="true"/>
              </w:rPr>
              <w:t xml:space="preserve">5. </w:t>
            </w:r>
            <w:r>
              <w:t xml:space="preserve">a strong, corrosive chemical poison once used as a disinfectant.</w:t>
            </w:r>
          </w:p>
          <w:p>
            <w:pPr>
              <w:keepLines/>
              <w:pStyle w:val="CluesTiny"/>
            </w:pPr>
            <w:r>
              <w:rPr>
                <w:b w:val="true"/>
                <w:bCs w:val="true"/>
              </w:rPr>
              <w:t xml:space="preserve">8. </w:t>
            </w:r>
            <w:r>
              <w:t xml:space="preserve">an early photographic process that created a positive image on a metal plate, replaced in 1860s by glass plate and colloid films that produced negatives</w:t>
            </w:r>
          </w:p>
          <w:p>
            <w:pPr>
              <w:keepLines/>
              <w:pStyle w:val="CluesTiny"/>
            </w:pPr>
            <w:r>
              <w:rPr>
                <w:b w:val="true"/>
                <w:bCs w:val="true"/>
              </w:rPr>
              <w:t xml:space="preserve">12. </w:t>
            </w:r>
            <w:r>
              <w:t xml:space="preserve"> a dead body donated for dissection</w:t>
            </w:r>
          </w:p>
          <w:p>
            <w:pPr>
              <w:keepLines/>
              <w:pStyle w:val="CluesTiny"/>
            </w:pPr>
            <w:r>
              <w:rPr>
                <w:b w:val="true"/>
                <w:bCs w:val="true"/>
              </w:rPr>
              <w:t xml:space="preserve">14. </w:t>
            </w:r>
            <w:r>
              <w:t xml:space="preserve">a life-threatening infection occurring when dead and dying tissue close off the circulation of blood to limbs.</w:t>
            </w:r>
          </w:p>
          <w:p>
            <w:pPr>
              <w:keepLines/>
              <w:pStyle w:val="CluesTiny"/>
            </w:pPr>
            <w:r>
              <w:rPr>
                <w:b w:val="true"/>
                <w:bCs w:val="true"/>
              </w:rPr>
              <w:t xml:space="preserve">15. </w:t>
            </w:r>
            <w:r>
              <w:t xml:space="preserve">the inability to speak, usually caused by injury or disease affecting Broca's area on the Brain's frontal lobe</w:t>
            </w:r>
          </w:p>
          <w:p>
            <w:pPr>
              <w:keepLines/>
              <w:pStyle w:val="CluesTiny"/>
            </w:pPr>
            <w:r>
              <w:rPr>
                <w:b w:val="true"/>
                <w:bCs w:val="true"/>
              </w:rPr>
              <w:t xml:space="preserve">16. </w:t>
            </w:r>
            <w:r>
              <w:t xml:space="preserve">a physiological state in which body temperature falls well below normal.</w:t>
            </w:r>
          </w:p>
          <w:p>
            <w:pPr>
              <w:keepLines/>
              <w:pStyle w:val="CluesTiny"/>
            </w:pPr>
            <w:r>
              <w:rPr>
                <w:b w:val="true"/>
                <w:bCs w:val="true"/>
              </w:rPr>
              <w:t xml:space="preserve">18. </w:t>
            </w:r>
            <w:r>
              <w:t xml:space="preserve">a nerve cells that transmits electrical or chemical impulses</w:t>
            </w:r>
          </w:p>
          <w:p>
            <w:pPr>
              <w:keepLines/>
              <w:pStyle w:val="CluesTiny"/>
            </w:pPr>
            <w:r>
              <w:rPr>
                <w:b w:val="true"/>
                <w:bCs w:val="true"/>
              </w:rPr>
              <w:t xml:space="preserve">19. </w:t>
            </w:r>
            <w:r>
              <w:t xml:space="preserve">a swollen pocket in tissue where dead bacteria and immune cells collect during an infection. </w:t>
            </w:r>
          </w:p>
          <w:p>
            <w:pPr>
              <w:keepLines/>
              <w:pStyle w:val="CluesTiny"/>
            </w:pPr>
            <w:r>
              <w:rPr>
                <w:b w:val="true"/>
                <w:bCs w:val="true"/>
              </w:rPr>
              <w:t xml:space="preserve">20. </w:t>
            </w:r>
            <w:r>
              <w:t xml:space="preserve">the part of the brain located at the back of the head beneath the occipital lobe that regulates involuntary muscles controlling balance and muscle tension</w:t>
            </w:r>
          </w:p>
        </w:tc>
        <w:tc>
          <w:p>
            <w:pPr>
              <w:pStyle w:val="CluesTiny"/>
            </w:pPr>
            <w:r>
              <w:rPr>
                <w:b w:val="true"/>
                <w:bCs w:val="true"/>
              </w:rPr>
              <w:t xml:space="preserve">Down</w:t>
            </w:r>
          </w:p>
          <w:p>
            <w:pPr>
              <w:keepLines/>
              <w:pStyle w:val="CluesTiny"/>
            </w:pPr>
            <w:r>
              <w:rPr>
                <w:b w:val="true"/>
                <w:bCs w:val="true"/>
              </w:rPr>
              <w:t xml:space="preserve">1. </w:t>
            </w:r>
            <w:r>
              <w:t xml:space="preserve"> one-celled microorganisms that thrive in virtually every environment on earth, as well as within larger organisms. Bacteria perform a wide variety of actions beneficial to humans, from decomposing organic matter to leavening bread Only a small percentage of the species are pathogenic, that is, capable of causing disease in humans</w:t>
            </w:r>
          </w:p>
          <w:p>
            <w:pPr>
              <w:keepLines/>
              <w:pStyle w:val="CluesTiny"/>
            </w:pPr>
            <w:r>
              <w:rPr>
                <w:b w:val="true"/>
                <w:bCs w:val="true"/>
              </w:rPr>
              <w:t xml:space="preserve">2. </w:t>
            </w:r>
            <w:r>
              <w:t xml:space="preserve">an instrument that traces electrical patterns in the brain</w:t>
            </w:r>
          </w:p>
          <w:p>
            <w:pPr>
              <w:keepLines/>
              <w:pStyle w:val="CluesTiny"/>
            </w:pPr>
            <w:r>
              <w:rPr>
                <w:b w:val="true"/>
                <w:bCs w:val="true"/>
              </w:rPr>
              <w:t xml:space="preserve">6. </w:t>
            </w:r>
            <w:r>
              <w:t xml:space="preserve">the breakdown by living yeast bacteria or natural sugars into alcohol and carbon dioxide</w:t>
            </w:r>
          </w:p>
          <w:p>
            <w:pPr>
              <w:keepLines/>
              <w:pStyle w:val="CluesTiny"/>
            </w:pPr>
            <w:r>
              <w:rPr>
                <w:b w:val="true"/>
                <w:bCs w:val="true"/>
              </w:rPr>
              <w:t xml:space="preserve">7. </w:t>
            </w:r>
            <w:r>
              <w:t xml:space="preserve">extremely small living things composed of one or a few that can be seen only through a microscope</w:t>
            </w:r>
          </w:p>
          <w:p>
            <w:pPr>
              <w:keepLines/>
              <w:pStyle w:val="CluesTiny"/>
            </w:pPr>
            <w:r>
              <w:rPr>
                <w:b w:val="true"/>
                <w:bCs w:val="true"/>
              </w:rPr>
              <w:t xml:space="preserve">9. </w:t>
            </w:r>
            <w:r>
              <w:t xml:space="preserve">a seizure disorder caused by breakdowns in the natural electrical patterns of the brain</w:t>
            </w:r>
          </w:p>
          <w:p>
            <w:pPr>
              <w:keepLines/>
              <w:pStyle w:val="CluesTiny"/>
            </w:pPr>
            <w:r>
              <w:rPr>
                <w:b w:val="true"/>
                <w:bCs w:val="true"/>
              </w:rPr>
              <w:t xml:space="preserve">10. </w:t>
            </w:r>
            <w:r>
              <w:t xml:space="preserve">the part of the cortex at the front of the brain</w:t>
            </w:r>
          </w:p>
          <w:p>
            <w:pPr>
              <w:keepLines/>
              <w:pStyle w:val="CluesTiny"/>
            </w:pPr>
            <w:r>
              <w:rPr>
                <w:b w:val="true"/>
                <w:bCs w:val="true"/>
              </w:rPr>
              <w:t xml:space="preserve">11. </w:t>
            </w:r>
            <w:r>
              <w:t xml:space="preserve">the bottom part of the brain that links to the spinal cord and controls such involuntary functions as breathing, heart rate, and reflex reactions.</w:t>
            </w:r>
          </w:p>
          <w:p>
            <w:pPr>
              <w:keepLines/>
              <w:pStyle w:val="CluesTiny"/>
            </w:pPr>
            <w:r>
              <w:rPr>
                <w:b w:val="true"/>
                <w:bCs w:val="true"/>
              </w:rPr>
              <w:t xml:space="preserve">13. </w:t>
            </w:r>
            <w:r>
              <w:t xml:space="preserve"> a crane for lifting heavy objects</w:t>
            </w:r>
          </w:p>
          <w:p>
            <w:pPr>
              <w:keepLines/>
              <w:pStyle w:val="CluesTiny"/>
            </w:pPr>
            <w:r>
              <w:rPr>
                <w:b w:val="true"/>
                <w:bCs w:val="true"/>
              </w:rPr>
              <w:t xml:space="preserve">17. </w:t>
            </w:r>
            <w:r>
              <w:t xml:space="preserve">class of organic compounds, but the 'ether' used in the first anesthesia operations as an ether of sulfuric acid and ethyl alcohol. The fumes quickly put surgical patients to sleep, but this ether also had a tendency to stop their breathing completely. It was quickly replaced by less dangerous chemicals</w:t>
            </w:r>
          </w:p>
        </w:tc>
      </w:tr>
    </w:tbl>
    <w:p>
      <w:pPr>
        <w:pStyle w:val="WordBankLarge"/>
      </w:pPr>
      <w:r>
        <w:t xml:space="preserve">   abscess    </w:t>
      </w:r>
      <w:r>
        <w:t xml:space="preserve">   aphasia    </w:t>
      </w:r>
      <w:r>
        <w:t xml:space="preserve">   bacteria    </w:t>
      </w:r>
      <w:r>
        <w:t xml:space="preserve">   brain stem    </w:t>
      </w:r>
      <w:r>
        <w:t xml:space="preserve">   cadaver    </w:t>
      </w:r>
      <w:r>
        <w:t xml:space="preserve">   carbolic acid    </w:t>
      </w:r>
      <w:r>
        <w:t xml:space="preserve">   cerebellum    </w:t>
      </w:r>
      <w:r>
        <w:t xml:space="preserve">   corpus callosum    </w:t>
      </w:r>
      <w:r>
        <w:t xml:space="preserve">   daguerreotype    </w:t>
      </w:r>
      <w:r>
        <w:t xml:space="preserve">   derrick    </w:t>
      </w:r>
      <w:r>
        <w:t xml:space="preserve">   electroencephalograph(EEG)    </w:t>
      </w:r>
      <w:r>
        <w:t xml:space="preserve">   epilepsy    </w:t>
      </w:r>
      <w:r>
        <w:t xml:space="preserve">   ether    </w:t>
      </w:r>
      <w:r>
        <w:t xml:space="preserve">   fermentation    </w:t>
      </w:r>
      <w:r>
        <w:t xml:space="preserve">   frontal lobe    </w:t>
      </w:r>
      <w:r>
        <w:t xml:space="preserve">   gangrene    </w:t>
      </w:r>
      <w:r>
        <w:t xml:space="preserve">   hypothermia    </w:t>
      </w:r>
      <w:r>
        <w:t xml:space="preserve">   inter hemispheric fissure    </w:t>
      </w:r>
      <w:r>
        <w:t xml:space="preserve">   microorganisms    </w:t>
      </w:r>
      <w:r>
        <w:t xml:space="preserve">   neuron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Phineas Gage Crossword</dc:title>
  <dcterms:created xsi:type="dcterms:W3CDTF">2021-10-11T14:21:31Z</dcterms:created>
  <dcterms:modified xsi:type="dcterms:W3CDTF">2021-10-11T14:21:31Z</dcterms:modified>
</cp:coreProperties>
</file>