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Development in Adolescence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ADOLESCENCE    </w:t>
      </w:r>
      <w:r>
        <w:t xml:space="preserve">   MATURITY    </w:t>
      </w:r>
      <w:r>
        <w:t xml:space="preserve">   CHARACTERISTICS    </w:t>
      </w:r>
      <w:r>
        <w:t xml:space="preserve">   GROWTH SPURT    </w:t>
      </w:r>
      <w:r>
        <w:t xml:space="preserve">   HORMONES    </w:t>
      </w:r>
      <w:r>
        <w:t xml:space="preserve">   OESTROGEN    </w:t>
      </w:r>
      <w:r>
        <w:t xml:space="preserve">   PRIMARY    </w:t>
      </w:r>
      <w:r>
        <w:t xml:space="preserve">   PUBERTY    </w:t>
      </w:r>
      <w:r>
        <w:t xml:space="preserve">   SECONDARY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Development in Adolescence</dc:title>
  <dcterms:created xsi:type="dcterms:W3CDTF">2021-10-11T14:23:46Z</dcterms:created>
  <dcterms:modified xsi:type="dcterms:W3CDTF">2021-10-11T14:23:46Z</dcterms:modified>
</cp:coreProperties>
</file>