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Physical Properties of Matter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property that describes if the material is magnetic.</w:t>
            </w:r>
          </w:p>
          <w:p>
            <w:pPr>
              <w:keepLines/>
              <w:pStyle w:val="CluesTiny"/>
            </w:pPr>
            <w:r>
              <w:rPr>
                <w:b w:val="true"/>
                <w:bCs w:val="true"/>
              </w:rPr>
              <w:t xml:space="preserve">4. </w:t>
            </w:r>
            <w:r>
              <w:t xml:space="preserve">A physical property that describes the ability of one substance to dissolve in another.</w:t>
            </w:r>
          </w:p>
          <w:p>
            <w:pPr>
              <w:keepLines/>
              <w:pStyle w:val="CluesTiny"/>
            </w:pPr>
            <w:r>
              <w:rPr>
                <w:b w:val="true"/>
                <w:bCs w:val="true"/>
              </w:rPr>
              <w:t xml:space="preserve">7. </w:t>
            </w:r>
            <w:r>
              <w:t xml:space="preserve">Physical characteristics of an object or material that can be observed with out changing the substance.</w:t>
            </w:r>
          </w:p>
          <w:p>
            <w:pPr>
              <w:keepLines/>
              <w:pStyle w:val="CluesTiny"/>
            </w:pPr>
            <w:r>
              <w:rPr>
                <w:b w:val="true"/>
                <w:bCs w:val="true"/>
              </w:rPr>
              <w:t xml:space="preserve">8. </w:t>
            </w:r>
            <w:r>
              <w:t xml:space="preserve">A physical property that describes the ability of a substance to rolled into a thin wire.</w:t>
            </w:r>
          </w:p>
          <w:p>
            <w:pPr>
              <w:keepLines/>
              <w:pStyle w:val="CluesTiny"/>
            </w:pPr>
            <w:r>
              <w:rPr>
                <w:b w:val="true"/>
                <w:bCs w:val="true"/>
              </w:rPr>
              <w:t xml:space="preserve">9. </w:t>
            </w:r>
            <w:r>
              <w:t xml:space="preserve">A physical property used to describe a shiny appearance or reflecting light. You can test this by shining a flashlight on the object and then seeing if it is shiny or if it reflects light.</w:t>
            </w:r>
          </w:p>
          <w:p>
            <w:pPr>
              <w:keepLines/>
              <w:pStyle w:val="CluesTiny"/>
            </w:pPr>
            <w:r>
              <w:rPr>
                <w:b w:val="true"/>
                <w:bCs w:val="true"/>
              </w:rPr>
              <w:t xml:space="preserve">10. </w:t>
            </w:r>
            <w:r>
              <w:t xml:space="preserve">A physical property that describes how electricity or heat passes through the material. You can test this by creating a circuit and adding an object to he circuit to see if it is a conductor or insulator. </w:t>
            </w:r>
          </w:p>
        </w:tc>
        <w:tc>
          <w:p>
            <w:pPr>
              <w:pStyle w:val="CluesTiny"/>
            </w:pPr>
            <w:r>
              <w:rPr>
                <w:b w:val="true"/>
                <w:bCs w:val="true"/>
              </w:rPr>
              <w:t xml:space="preserve">Down</w:t>
            </w:r>
          </w:p>
          <w:p>
            <w:pPr>
              <w:keepLines/>
              <w:pStyle w:val="CluesTiny"/>
            </w:pPr>
            <w:r>
              <w:rPr>
                <w:b w:val="true"/>
                <w:bCs w:val="true"/>
              </w:rPr>
              <w:t xml:space="preserve">1. </w:t>
            </w:r>
            <w:r>
              <w:t xml:space="preserve">A phase is another name for a physical state of matter such as solid, liquid, and gas</w:t>
            </w:r>
          </w:p>
          <w:p>
            <w:pPr>
              <w:keepLines/>
              <w:pStyle w:val="CluesTiny"/>
            </w:pPr>
            <w:r>
              <w:rPr>
                <w:b w:val="true"/>
                <w:bCs w:val="true"/>
              </w:rPr>
              <w:t xml:space="preserve">3. </w:t>
            </w:r>
            <w:r>
              <w:t xml:space="preserve">A physical property that describes the ability of the material to be rolled or hammered into thin sheets, You can test this by trying to put the object between your hands and push it together</w:t>
            </w:r>
          </w:p>
          <w:p>
            <w:pPr>
              <w:keepLines/>
              <w:pStyle w:val="CluesTiny"/>
            </w:pPr>
            <w:r>
              <w:rPr>
                <w:b w:val="true"/>
                <w:bCs w:val="true"/>
              </w:rPr>
              <w:t xml:space="preserve">5. </w:t>
            </w:r>
            <w:r>
              <w:t xml:space="preserve">A physical property that means the substance is likely to break, snap, or crack when subjected to pressure.</w:t>
            </w:r>
          </w:p>
          <w:p>
            <w:pPr>
              <w:keepLines/>
              <w:pStyle w:val="CluesTiny"/>
            </w:pPr>
            <w:r>
              <w:rPr>
                <w:b w:val="true"/>
                <w:bCs w:val="true"/>
              </w:rPr>
              <w:t xml:space="preserve">6. </w:t>
            </w:r>
            <w:r>
              <w:t xml:space="preserve">A physical property that defines the amount of matter (stuff) in a given space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Physical Properties of Matter</dc:title>
  <dcterms:created xsi:type="dcterms:W3CDTF">2021-10-11T14:23:29Z</dcterms:created>
  <dcterms:modified xsi:type="dcterms:W3CDTF">2021-10-11T14:23:29Z</dcterms:modified>
</cp:coreProperties>
</file>