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Cognitive development in late 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Alzheimers    </w:t>
      </w:r>
      <w:r>
        <w:t xml:space="preserve">   retirement    </w:t>
      </w:r>
      <w:r>
        <w:t xml:space="preserve">   attention    </w:t>
      </w:r>
      <w:r>
        <w:t xml:space="preserve">   Memory    </w:t>
      </w:r>
      <w:r>
        <w:t xml:space="preserve">   arthritis    </w:t>
      </w:r>
      <w:r>
        <w:t xml:space="preserve">   osteoporosis    </w:t>
      </w:r>
      <w:r>
        <w:t xml:space="preserve">   dementia    </w:t>
      </w:r>
      <w:r>
        <w:t xml:space="preserve">   glaucoma    </w:t>
      </w:r>
      <w:r>
        <w:t xml:space="preserve">   cataracts    </w:t>
      </w:r>
      <w:r>
        <w:t xml:space="preserve">   life expectancy    </w:t>
      </w:r>
      <w:r>
        <w:t xml:space="preserve">   life span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Cognitive development in late adulthood</dc:title>
  <dcterms:created xsi:type="dcterms:W3CDTF">2021-10-11T14:24:00Z</dcterms:created>
  <dcterms:modified xsi:type="dcterms:W3CDTF">2021-10-11T14:24:00Z</dcterms:modified>
</cp:coreProperties>
</file>