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Kingdom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cotyledon    </w:t>
      </w:r>
      <w:r>
        <w:t xml:space="preserve">   sporangium    </w:t>
      </w:r>
      <w:r>
        <w:t xml:space="preserve">   rhizome    </w:t>
      </w:r>
      <w:r>
        <w:t xml:space="preserve">   epiphyte    </w:t>
      </w:r>
      <w:r>
        <w:t xml:space="preserve">   strobilus    </w:t>
      </w:r>
      <w:r>
        <w:t xml:space="preserve">   thallose    </w:t>
      </w:r>
      <w:r>
        <w:t xml:space="preserve">   seed    </w:t>
      </w:r>
      <w:r>
        <w:t xml:space="preserve">   nonvascularplant    </w:t>
      </w:r>
      <w:r>
        <w:t xml:space="preserve">   vascularplant    </w:t>
      </w:r>
      <w:r>
        <w:t xml:space="preserve">   vasculartissue    </w:t>
      </w:r>
      <w:r>
        <w:t xml:space="preserve">   stomata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Kingdom Word Search</dc:title>
  <dcterms:created xsi:type="dcterms:W3CDTF">2021-10-11T14:30:04Z</dcterms:created>
  <dcterms:modified xsi:type="dcterms:W3CDTF">2021-10-11T14:30:04Z</dcterms:modified>
</cp:coreProperties>
</file>